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F070" w14:textId="4D1F0053" w:rsidR="00AB66CD" w:rsidRPr="00B14B79" w:rsidRDefault="00C14FF1" w:rsidP="00C14FF1">
      <w:pPr>
        <w:spacing w:after="0" w:line="276" w:lineRule="auto"/>
        <w:ind w:left="709"/>
        <w:jc w:val="center"/>
        <w:rPr>
          <w:rFonts w:ascii="Arial" w:eastAsia="Calibri" w:hAnsi="Arial" w:cs="Arial"/>
          <w:b/>
          <w:sz w:val="28"/>
          <w:szCs w:val="28"/>
          <w:lang w:val="es-ES"/>
        </w:rPr>
      </w:pPr>
      <w:r w:rsidRPr="00B14B79">
        <w:rPr>
          <w:rFonts w:ascii="Arial" w:eastAsia="Calibri" w:hAnsi="Arial" w:cs="Arial"/>
          <w:b/>
          <w:sz w:val="28"/>
          <w:szCs w:val="28"/>
          <w:lang w:val="es-ES"/>
        </w:rPr>
        <w:t>ANEXO</w:t>
      </w:r>
      <w:r w:rsidR="00DB63E2" w:rsidRPr="00B14B79">
        <w:rPr>
          <w:rFonts w:ascii="Arial" w:eastAsia="Calibri" w:hAnsi="Arial" w:cs="Arial"/>
          <w:b/>
          <w:sz w:val="28"/>
          <w:szCs w:val="28"/>
          <w:lang w:val="es-ES"/>
        </w:rPr>
        <w:t xml:space="preserve"> </w:t>
      </w:r>
      <w:r w:rsidR="004B0094" w:rsidRPr="00B14B79">
        <w:rPr>
          <w:rFonts w:ascii="Arial" w:eastAsia="Calibri" w:hAnsi="Arial" w:cs="Arial"/>
          <w:b/>
          <w:sz w:val="28"/>
          <w:szCs w:val="28"/>
          <w:lang w:val="es-ES"/>
        </w:rPr>
        <w:t>1</w:t>
      </w:r>
      <w:r w:rsidR="008C415B">
        <w:rPr>
          <w:rFonts w:ascii="Arial" w:eastAsia="Calibri" w:hAnsi="Arial" w:cs="Arial"/>
          <w:b/>
          <w:sz w:val="28"/>
          <w:szCs w:val="28"/>
          <w:lang w:val="es-ES"/>
        </w:rPr>
        <w:t>7</w:t>
      </w:r>
      <w:bookmarkStart w:id="0" w:name="_GoBack"/>
      <w:bookmarkEnd w:id="0"/>
    </w:p>
    <w:p w14:paraId="41A03F82" w14:textId="77777777" w:rsidR="00C14FF1" w:rsidRPr="000B6755" w:rsidRDefault="00C14FF1" w:rsidP="00AB66CD">
      <w:pPr>
        <w:spacing w:after="0" w:line="276" w:lineRule="auto"/>
        <w:ind w:left="709"/>
        <w:jc w:val="both"/>
        <w:rPr>
          <w:rFonts w:ascii="Arial" w:eastAsia="Calibri" w:hAnsi="Arial" w:cs="Arial"/>
          <w:lang w:val="es-ES"/>
        </w:rPr>
      </w:pPr>
    </w:p>
    <w:p w14:paraId="5F294B64" w14:textId="19F766F7" w:rsidR="00C14FF1" w:rsidRPr="000B6755" w:rsidRDefault="00C14FF1" w:rsidP="00C14FF1">
      <w:pPr>
        <w:spacing w:after="0" w:line="276" w:lineRule="auto"/>
        <w:ind w:left="709"/>
        <w:jc w:val="center"/>
        <w:rPr>
          <w:rFonts w:ascii="Arial" w:eastAsia="Calibri" w:hAnsi="Arial" w:cs="Arial"/>
          <w:b/>
          <w:lang w:val="es-ES"/>
        </w:rPr>
      </w:pPr>
      <w:r w:rsidRPr="000B6755">
        <w:rPr>
          <w:rFonts w:ascii="Arial" w:eastAsia="Calibri" w:hAnsi="Arial" w:cs="Arial"/>
          <w:b/>
          <w:lang w:val="es-ES"/>
        </w:rPr>
        <w:t xml:space="preserve">MARCO TEÓRICO </w:t>
      </w:r>
      <w:r w:rsidR="00DC2C10" w:rsidRPr="000B6755">
        <w:rPr>
          <w:rFonts w:ascii="Arial" w:eastAsia="Calibri" w:hAnsi="Arial" w:cs="Arial"/>
          <w:b/>
          <w:lang w:val="es-ES"/>
        </w:rPr>
        <w:t xml:space="preserve">Y CONCEPTUAL </w:t>
      </w:r>
      <w:r w:rsidRPr="000B6755">
        <w:rPr>
          <w:rFonts w:ascii="Arial" w:eastAsia="Calibri" w:hAnsi="Arial" w:cs="Arial"/>
          <w:b/>
          <w:lang w:val="es-ES"/>
        </w:rPr>
        <w:t>PARA LA EJECUCIÓN DE LA</w:t>
      </w:r>
      <w:r w:rsidR="00DA1295" w:rsidRPr="000B6755">
        <w:rPr>
          <w:rFonts w:ascii="Arial" w:eastAsia="Calibri" w:hAnsi="Arial" w:cs="Arial"/>
          <w:b/>
          <w:lang w:val="es-ES"/>
        </w:rPr>
        <w:t>S</w:t>
      </w:r>
      <w:r w:rsidRPr="000B6755">
        <w:rPr>
          <w:rFonts w:ascii="Arial" w:eastAsia="Calibri" w:hAnsi="Arial" w:cs="Arial"/>
          <w:b/>
          <w:lang w:val="es-ES"/>
        </w:rPr>
        <w:t xml:space="preserve"> ITSE</w:t>
      </w:r>
      <w:r w:rsidR="00DA1295" w:rsidRPr="000B6755">
        <w:rPr>
          <w:rFonts w:ascii="Arial" w:eastAsia="Calibri" w:hAnsi="Arial" w:cs="Arial"/>
          <w:b/>
          <w:lang w:val="es-ES"/>
        </w:rPr>
        <w:t xml:space="preserve"> Y ECSE</w:t>
      </w:r>
    </w:p>
    <w:p w14:paraId="3F829C24" w14:textId="77777777" w:rsidR="00DA1295" w:rsidRPr="000B6755" w:rsidRDefault="00DA1295" w:rsidP="00AB66CD">
      <w:pPr>
        <w:spacing w:after="0" w:line="276" w:lineRule="auto"/>
        <w:ind w:left="709"/>
        <w:jc w:val="both"/>
        <w:rPr>
          <w:rFonts w:ascii="Arial" w:eastAsia="Calibri" w:hAnsi="Arial" w:cs="Arial"/>
          <w:lang w:val="es-ES"/>
        </w:rPr>
      </w:pPr>
    </w:p>
    <w:p w14:paraId="10ACF64F" w14:textId="0B4AB936" w:rsidR="00DA1295" w:rsidRPr="000B6755" w:rsidRDefault="00DA1295" w:rsidP="00DA1295">
      <w:pPr>
        <w:spacing w:after="0" w:line="276" w:lineRule="auto"/>
        <w:ind w:left="709" w:firstLine="284"/>
        <w:jc w:val="both"/>
        <w:rPr>
          <w:rFonts w:ascii="Arial" w:eastAsia="Calibri" w:hAnsi="Arial" w:cs="Arial"/>
          <w:b/>
          <w:lang w:val="es-ES"/>
        </w:rPr>
      </w:pPr>
      <w:r w:rsidRPr="000B6755">
        <w:rPr>
          <w:rFonts w:ascii="Arial" w:eastAsia="Calibri" w:hAnsi="Arial" w:cs="Arial"/>
          <w:b/>
          <w:lang w:val="es-ES"/>
        </w:rPr>
        <w:t xml:space="preserve">I.- MARCO TEÓRICO </w:t>
      </w:r>
      <w:r w:rsidR="00E54333" w:rsidRPr="000B6755">
        <w:rPr>
          <w:rFonts w:ascii="Arial" w:eastAsia="Calibri" w:hAnsi="Arial" w:cs="Arial"/>
          <w:b/>
          <w:lang w:val="es-ES"/>
        </w:rPr>
        <w:t xml:space="preserve">Y CONCEPTUAL </w:t>
      </w:r>
      <w:r w:rsidRPr="000B6755">
        <w:rPr>
          <w:rFonts w:ascii="Arial" w:eastAsia="Calibri" w:hAnsi="Arial" w:cs="Arial"/>
          <w:b/>
          <w:lang w:val="es-ES"/>
        </w:rPr>
        <w:t>DE LAS ITSE</w:t>
      </w:r>
    </w:p>
    <w:p w14:paraId="138E56B8" w14:textId="1D67BE58" w:rsidR="00AB66CD" w:rsidRPr="000B6755" w:rsidRDefault="00DA1295" w:rsidP="007B4039">
      <w:pPr>
        <w:spacing w:after="200" w:line="276" w:lineRule="auto"/>
        <w:ind w:left="1276"/>
        <w:contextualSpacing/>
        <w:jc w:val="both"/>
        <w:outlineLvl w:val="2"/>
        <w:rPr>
          <w:rFonts w:ascii="Arial" w:eastAsia="Calibri" w:hAnsi="Arial" w:cs="Arial"/>
          <w:b/>
          <w:lang w:val="es-ES"/>
        </w:rPr>
      </w:pPr>
      <w:bookmarkStart w:id="1" w:name="_Toc468707782"/>
      <w:r w:rsidRPr="000B6755">
        <w:rPr>
          <w:rFonts w:ascii="Arial" w:eastAsia="Calibri" w:hAnsi="Arial" w:cs="Arial"/>
          <w:b/>
          <w:lang w:val="es-ES"/>
        </w:rPr>
        <w:t>I.</w:t>
      </w:r>
      <w:r w:rsidR="00C14FF1" w:rsidRPr="000B6755">
        <w:rPr>
          <w:rFonts w:ascii="Arial" w:eastAsia="Calibri" w:hAnsi="Arial" w:cs="Arial"/>
          <w:b/>
          <w:lang w:val="es-ES"/>
        </w:rPr>
        <w:t xml:space="preserve">1.- </w:t>
      </w:r>
      <w:r w:rsidR="00AB66CD" w:rsidRPr="000B6755">
        <w:rPr>
          <w:rFonts w:ascii="Arial" w:eastAsia="Calibri" w:hAnsi="Arial" w:cs="Arial"/>
          <w:b/>
          <w:lang w:val="es-ES"/>
        </w:rPr>
        <w:t>RIESGO DE INCENDIO</w:t>
      </w:r>
      <w:bookmarkEnd w:id="1"/>
    </w:p>
    <w:p w14:paraId="56A183D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Es la probabilidad que ocurra un incendio en una edificación, el cual puede ocasionar pérdida de vidas humanas, daño a la integridad de las personas y/o la destrucción de los bienes que se encuentran en la edificación.</w:t>
      </w:r>
    </w:p>
    <w:p w14:paraId="0D4CD03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Se denomina incendio a la manifestación de fuego en grandes dimensiones que, fuera de control, destruye todo a su paso. Los incendios pueden suscitarse en espacios cerrados, como recintos o edificaciones y también en campos abiertos, como los incendios forestales.</w:t>
      </w:r>
    </w:p>
    <w:p w14:paraId="56DD7FE9"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En ambos casos se puede generalizar que los incendios tienen origen en la actividad humana, ya sea como consecuencia de los procesos o actividades que desarrolla el hombre, o por omisión, y en casos de negligencia en la administración de estas actividades. No obstante, excepcionalmente pueden suscitarse incendios en campos abiertos por causas de origen natural, como la caída de un rayo.</w:t>
      </w:r>
    </w:p>
    <w:p w14:paraId="0A80FF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tienen siempre una connotación negativa pues sus consecuencias son pérdidas no previstas, ya sea de recursos materiales, tecnológicos y, en el caso más extremo, de vidas humanas.</w:t>
      </w:r>
    </w:p>
    <w:p w14:paraId="11E9476F"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presente documento se refiere exclusivamente a los incendios que pudieran presentarse en recintos o edificaciones, en tanto las ITSE están asociadas a recintos, establecimientos o edificaciones en general.</w:t>
      </w:r>
    </w:p>
    <w:p w14:paraId="3D661B7B"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ocurren cuando coinciden un producto inflamable (combustible), un producto que favorece la combustión (comburente) y una fuente de energía suficiente para el desencadenamiento (calor, chispa, fuego). La literatura técnica los refiere como el “triángulo de fuego”.</w:t>
      </w:r>
    </w:p>
    <w:p w14:paraId="11391354"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El comburente más común es el oxígeno que está presente en el aire, prácticamente en todo recinto utilizado por la actividad humana; con lo cual, todo espacio, ventilado o no, es propenso a iniciar un incendio hasta consumir el oxígeno presente. Es entendible que, mientras tenga relación con el ambiente, el incendio puede nutrirse del oxígeno presente en el aire. Es importante mencionar que en casos de recintos cerrados en los que aparentemente se pudiera acabar el oxígeno, este puede provenir de otras sustancias que lo </w:t>
      </w:r>
      <w:r w:rsidRPr="000B6755">
        <w:rPr>
          <w:rFonts w:ascii="Arial" w:eastAsia="Calibri" w:hAnsi="Arial" w:cs="Arial"/>
          <w:lang w:val="es-ES"/>
        </w:rPr>
        <w:lastRenderedPageBreak/>
        <w:t>contienen, como los nitratos, cloratos, peróxidos u ozono, que actúan como comburentes frente a productos combustibles y se liberan producto de la reacción química.</w:t>
      </w:r>
    </w:p>
    <w:p w14:paraId="55A74898" w14:textId="32475C7D" w:rsidR="00AB66CD" w:rsidRPr="000B6755" w:rsidRDefault="00AB66CD" w:rsidP="00AB66CD">
      <w:pPr>
        <w:keepNext/>
        <w:spacing w:after="200" w:line="240" w:lineRule="auto"/>
        <w:jc w:val="center"/>
        <w:rPr>
          <w:rFonts w:ascii="Calibri" w:eastAsia="Calibri" w:hAnsi="Calibri" w:cs="Times New Roman"/>
          <w:i/>
          <w:iCs/>
          <w:sz w:val="20"/>
          <w:szCs w:val="20"/>
          <w:lang w:val="es-ES"/>
        </w:rPr>
      </w:pPr>
      <w:r w:rsidRPr="000B6755">
        <w:rPr>
          <w:rFonts w:ascii="Calibri" w:eastAsia="Calibri" w:hAnsi="Calibri" w:cs="Times New Roman"/>
          <w:i/>
          <w:iCs/>
          <w:sz w:val="20"/>
          <w:szCs w:val="20"/>
          <w:lang w:val="es-ES"/>
        </w:rPr>
        <w:t xml:space="preserve">Ilustración </w:t>
      </w:r>
      <w:r w:rsidRPr="000B6755">
        <w:rPr>
          <w:rFonts w:ascii="Calibri" w:eastAsia="Calibri" w:hAnsi="Calibri" w:cs="Times New Roman"/>
          <w:i/>
          <w:iCs/>
          <w:sz w:val="20"/>
          <w:szCs w:val="20"/>
          <w:lang w:val="es-ES"/>
        </w:rPr>
        <w:fldChar w:fldCharType="begin"/>
      </w:r>
      <w:r w:rsidRPr="000B6755">
        <w:rPr>
          <w:rFonts w:ascii="Calibri" w:eastAsia="Calibri" w:hAnsi="Calibri" w:cs="Times New Roman"/>
          <w:i/>
          <w:iCs/>
          <w:sz w:val="20"/>
          <w:szCs w:val="20"/>
          <w:lang w:val="es-ES"/>
        </w:rPr>
        <w:instrText xml:space="preserve"> SEQ Ilustración \* ARABIC </w:instrText>
      </w:r>
      <w:r w:rsidRPr="000B6755">
        <w:rPr>
          <w:rFonts w:ascii="Calibri" w:eastAsia="Calibri" w:hAnsi="Calibri" w:cs="Times New Roman"/>
          <w:i/>
          <w:iCs/>
          <w:sz w:val="20"/>
          <w:szCs w:val="20"/>
          <w:lang w:val="es-ES"/>
        </w:rPr>
        <w:fldChar w:fldCharType="separate"/>
      </w:r>
      <w:r w:rsidR="00CD7961">
        <w:rPr>
          <w:rFonts w:ascii="Calibri" w:eastAsia="Calibri" w:hAnsi="Calibri" w:cs="Times New Roman"/>
          <w:i/>
          <w:iCs/>
          <w:noProof/>
          <w:sz w:val="20"/>
          <w:szCs w:val="20"/>
          <w:lang w:val="es-ES"/>
        </w:rPr>
        <w:t>1</w:t>
      </w:r>
      <w:r w:rsidRPr="000B6755">
        <w:rPr>
          <w:rFonts w:ascii="Calibri" w:eastAsia="Calibri" w:hAnsi="Calibri" w:cs="Times New Roman"/>
          <w:i/>
          <w:iCs/>
          <w:sz w:val="20"/>
          <w:szCs w:val="20"/>
          <w:lang w:val="es-ES"/>
        </w:rPr>
        <w:fldChar w:fldCharType="end"/>
      </w:r>
      <w:r w:rsidRPr="000B6755">
        <w:rPr>
          <w:rFonts w:ascii="Calibri" w:eastAsia="Calibri" w:hAnsi="Calibri" w:cs="Times New Roman"/>
          <w:i/>
          <w:iCs/>
          <w:sz w:val="20"/>
          <w:szCs w:val="20"/>
          <w:lang w:val="es-ES"/>
        </w:rPr>
        <w:t>: Representación gráfica del "Triangulo de fuego</w:t>
      </w:r>
      <w:r w:rsidRPr="000B6755">
        <w:rPr>
          <w:rFonts w:ascii="Calibri" w:eastAsia="Calibri" w:hAnsi="Calibri" w:cs="Times New Roman"/>
          <w:i/>
          <w:iCs/>
          <w:noProof/>
          <w:sz w:val="20"/>
          <w:szCs w:val="20"/>
          <w:lang w:val="es-ES"/>
        </w:rPr>
        <w:t>"</w:t>
      </w:r>
    </w:p>
    <w:p w14:paraId="0D98C936" w14:textId="77777777" w:rsidR="00AB66CD" w:rsidRPr="000B6755" w:rsidRDefault="00AB66CD" w:rsidP="00AB66CD">
      <w:pPr>
        <w:spacing w:after="0" w:line="276" w:lineRule="auto"/>
        <w:jc w:val="center"/>
        <w:rPr>
          <w:rFonts w:ascii="Arial" w:eastAsia="Calibri" w:hAnsi="Arial" w:cs="Arial"/>
          <w:lang w:val="es-ES"/>
        </w:rPr>
      </w:pPr>
      <w:r w:rsidRPr="000B6755">
        <w:rPr>
          <w:rFonts w:ascii="Arial" w:eastAsia="Calibri" w:hAnsi="Arial" w:cs="Arial"/>
          <w:noProof/>
          <w:lang w:eastAsia="es-PE"/>
        </w:rPr>
        <w:drawing>
          <wp:inline distT="0" distB="0" distL="0" distR="0" wp14:anchorId="4ACA37BD" wp14:editId="4AC9251A">
            <wp:extent cx="2588602" cy="216568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488" cy="2297776"/>
                    </a:xfrm>
                    <a:prstGeom prst="rect">
                      <a:avLst/>
                    </a:prstGeom>
                    <a:noFill/>
                  </pic:spPr>
                </pic:pic>
              </a:graphicData>
            </a:graphic>
          </wp:inline>
        </w:drawing>
      </w:r>
    </w:p>
    <w:p w14:paraId="396BD5DD" w14:textId="77777777" w:rsidR="00AB66CD" w:rsidRPr="000B6755" w:rsidRDefault="00AB66CD" w:rsidP="00AB66CD">
      <w:pPr>
        <w:tabs>
          <w:tab w:val="left" w:pos="2410"/>
        </w:tabs>
        <w:spacing w:after="200" w:line="276" w:lineRule="auto"/>
        <w:ind w:left="2268"/>
        <w:jc w:val="both"/>
        <w:rPr>
          <w:rFonts w:ascii="Calibri" w:eastAsia="Calibri" w:hAnsi="Calibri" w:cs="Arial"/>
          <w:sz w:val="16"/>
          <w:szCs w:val="16"/>
          <w:lang w:val="es-ES"/>
        </w:rPr>
      </w:pPr>
      <w:r w:rsidRPr="000B6755">
        <w:rPr>
          <w:rFonts w:ascii="Calibri" w:eastAsia="Calibri" w:hAnsi="Calibri" w:cs="Arial"/>
          <w:sz w:val="16"/>
          <w:szCs w:val="16"/>
          <w:lang w:val="es-ES"/>
        </w:rPr>
        <w:t>Fuente Elaboración propia con información de NFPA</w:t>
      </w:r>
    </w:p>
    <w:p w14:paraId="78F8506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combustibles son elementos o sustancias que tienen la posibilidad de arder, es decir, son materiales capaces de liberar energía de manera violenta con desprendimiento de calor. En general, los combustibles son fabricados, preparados o acopiados para ser quemados o producir energía calorífica.</w:t>
      </w:r>
    </w:p>
    <w:p w14:paraId="6932814C" w14:textId="57743BEF"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fuentes de energía, calor o ignición pueden estar relacionadas a la actividad que se desarrolla en el recinto o establecimiento o provenir de fuente externa, como visitantes, o equipamiento tales como el fuego abierto, superficies calientes, chispas eléctricas, brasas, cigarrillos u otros similares.</w:t>
      </w:r>
    </w:p>
    <w:p w14:paraId="51972BD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reacción de combustión genera unos productos de combustión (humos, gases, residuos sólidos) y más energía calórica que la inicial. Esta reacción se produce en cadena y seguirá en incremento mientras no se elimine alguno de los tres factores del denominado triángulo del fuego. Otras explicaciones utilizan la figura del “tetraedro de fuego” en la cual la cuarta cara o superficie es esta “reacción en cadena“.</w:t>
      </w:r>
    </w:p>
    <w:p w14:paraId="2F796172"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En materia de incendios, una entidad reconocida a nivel internacional, la “National Fire Protection Association” – NFPA, de carácter eminentemente técnico, ha venido produciendo literatura científica y documentos técnicos que son referentes mundiales y que incluso han sido adoptados de forma oficial por muchos estados.</w:t>
      </w:r>
    </w:p>
    <w:p w14:paraId="5E9C2EC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La NFPA propone principios para la protección contra incendios. Se enfoca en que los mismos pueden prevenirse, ser controlados y, eventualmente, minimizarse sus efectos. Estos principios orientan el desarrollo de la ingeniería de protección contra incendios y también </w:t>
      </w:r>
      <w:r w:rsidRPr="000B6755">
        <w:rPr>
          <w:rFonts w:ascii="Arial" w:eastAsia="Calibri" w:hAnsi="Arial" w:cs="Arial"/>
          <w:lang w:val="es-ES"/>
        </w:rPr>
        <w:lastRenderedPageBreak/>
        <w:t>los procedimientos técnicos de verificación e inspección como son las Inspecciones Técnicas de Seguridad en Edificaciones (ITSE), y se transcriben a continuación:</w:t>
      </w:r>
    </w:p>
    <w:p w14:paraId="28BC46E4" w14:textId="3B76B2D0"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Un agente oxidante, un material combustible, y una fuente de ignición son esenciales para la combustión. (Con excepción de la combustión espontánea, que no requiere una fu</w:t>
      </w:r>
      <w:r w:rsidR="00E204FD" w:rsidRPr="000B6755">
        <w:rPr>
          <w:rFonts w:ascii="Arial" w:eastAsia="Calibri" w:hAnsi="Arial" w:cs="Arial"/>
          <w:i/>
          <w:lang w:val="es-ES"/>
        </w:rPr>
        <w:t>ente independiente de ignición.</w:t>
      </w:r>
    </w:p>
    <w:p w14:paraId="59F85931" w14:textId="77777777"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El material combustible debe calentarse hasta su temperatura de ignición mediante fuente de ignición (de calor) antes de que pueda prenderse o sostener la propagación de las llamas.</w:t>
      </w:r>
    </w:p>
    <w:p w14:paraId="278287C4" w14:textId="77777777"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La quema subsecuente del material combustible está gobernada por la retroalimentación de calor de las llamas al combustible en pirolisis o vaporización.</w:t>
      </w:r>
    </w:p>
    <w:p w14:paraId="559F314F" w14:textId="4941274C"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 xml:space="preserve">La combustión continuará hasta que suceda uno de los siguientes </w:t>
      </w:r>
      <w:r w:rsidR="00E204FD" w:rsidRPr="000B6755">
        <w:rPr>
          <w:rFonts w:ascii="Arial" w:eastAsia="Calibri" w:hAnsi="Arial" w:cs="Arial"/>
          <w:i/>
          <w:lang w:val="es-ES"/>
        </w:rPr>
        <w:t>supuestos:</w:t>
      </w:r>
    </w:p>
    <w:p w14:paraId="4135D535" w14:textId="77777777" w:rsidR="00E204FD" w:rsidRPr="000B6755" w:rsidRDefault="00E204FD" w:rsidP="00E204FD">
      <w:pPr>
        <w:spacing w:after="0" w:line="276" w:lineRule="auto"/>
        <w:ind w:left="1985"/>
        <w:contextualSpacing/>
        <w:jc w:val="both"/>
        <w:rPr>
          <w:rFonts w:ascii="Arial" w:eastAsia="Calibri" w:hAnsi="Arial" w:cs="Arial"/>
          <w:i/>
          <w:lang w:val="es-ES"/>
        </w:rPr>
      </w:pPr>
    </w:p>
    <w:p w14:paraId="57338C00"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d.1) Se haya consumido el material combustible.</w:t>
      </w:r>
    </w:p>
    <w:p w14:paraId="6F8EAFD8"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d.2) La concentración del agente oxidante disminuya por debajo de la concentración necesaria para sostener la combustión.</w:t>
      </w:r>
    </w:p>
    <w:p w14:paraId="4FFCD51F"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d.3) Se haya eliminado suficiente calor o prevenido que alcance al material combustible, evitando así la pirolisis ulterior del combustible.</w:t>
      </w:r>
    </w:p>
    <w:p w14:paraId="3188F695" w14:textId="77777777" w:rsidR="00AB66CD" w:rsidRPr="000B6755" w:rsidRDefault="00AB66CD" w:rsidP="00E204FD">
      <w:pPr>
        <w:spacing w:after="20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d.4) Las llamas sean inhibidas químicamente o enfriadas lo suficiente para evitar reacciones posteriores.</w:t>
      </w:r>
    </w:p>
    <w:p w14:paraId="4618244E" w14:textId="77777777" w:rsidR="00DB63E2" w:rsidRPr="000B6755" w:rsidRDefault="00DB63E2" w:rsidP="00AB66CD">
      <w:pPr>
        <w:spacing w:after="200" w:line="276" w:lineRule="auto"/>
        <w:ind w:left="1276"/>
        <w:contextualSpacing/>
        <w:jc w:val="both"/>
        <w:rPr>
          <w:rFonts w:ascii="Arial" w:eastAsia="Calibri" w:hAnsi="Arial" w:cs="Arial"/>
          <w:lang w:val="es-ES"/>
        </w:rPr>
      </w:pPr>
    </w:p>
    <w:p w14:paraId="6E687051" w14:textId="4D7D455D"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urbanos ocasionan daños materiales importantes, lesiones corporales y en algunos casos la muerte. Los daños materiales están relacionados con la temperatura alcanzada en el incendio que depende del poder calorífico del combustible, mientras que los daños sobre las personas pueden ser producidos por el calor o por la acción directa de las llamas produciendo quemaduras. El efecto inmediato más común es la intoxicación o asfixia debido a la inhalación de gases tóxicos de la combustión, principalmente monóxido de carbono, o a la falta de oxígeno.</w:t>
      </w:r>
    </w:p>
    <w:p w14:paraId="37A9CA7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causas que originan incendios en los negocios pueden ser: acumulación inapropiada de material combustible, mala instalación eléctrica, manipulación inadecuada de materiales combustibles, gases, y/o explosivos, fallas en equipos como calderos, hornos, otros, las que son desarrolladas posteriormente en los Formatos de la ITSE, donde el objeto es verificar que estas causas estén controladas.</w:t>
      </w:r>
    </w:p>
    <w:p w14:paraId="07C9E904" w14:textId="7BE6CE7F" w:rsidR="00AB66CD" w:rsidRPr="000B6755" w:rsidRDefault="00DB63E2" w:rsidP="007B4039">
      <w:pPr>
        <w:spacing w:after="200" w:line="276" w:lineRule="auto"/>
        <w:ind w:left="1276"/>
        <w:contextualSpacing/>
        <w:jc w:val="both"/>
        <w:outlineLvl w:val="2"/>
        <w:rPr>
          <w:rFonts w:ascii="Arial" w:eastAsia="Calibri" w:hAnsi="Arial" w:cs="Arial"/>
          <w:b/>
          <w:lang w:val="es-ES"/>
        </w:rPr>
      </w:pPr>
      <w:bookmarkStart w:id="2" w:name="_Toc468707783"/>
      <w:r w:rsidRPr="000B6755">
        <w:rPr>
          <w:rFonts w:ascii="Arial" w:eastAsia="Calibri" w:hAnsi="Arial" w:cs="Arial"/>
          <w:b/>
          <w:lang w:val="es-ES"/>
        </w:rPr>
        <w:t xml:space="preserve">I.2. </w:t>
      </w:r>
      <w:r w:rsidR="00AB66CD" w:rsidRPr="000B6755">
        <w:rPr>
          <w:rFonts w:ascii="Arial" w:eastAsia="Calibri" w:hAnsi="Arial" w:cs="Arial"/>
          <w:b/>
          <w:lang w:val="es-ES"/>
        </w:rPr>
        <w:t>RIESGO DE COLAPSO ESTRUCTURAL</w:t>
      </w:r>
      <w:bookmarkEnd w:id="2"/>
    </w:p>
    <w:p w14:paraId="67FCFC7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Es la probabilidad de que ocurra daño en los elementos estructurales de la edificación o establecimiento debido a su severo deterioro y/o debilitamiento que afecten su resistencia y estabilidad, lo que ocasiona pérdida de vidas humanas, daño a la integridad de las </w:t>
      </w:r>
      <w:r w:rsidRPr="000B6755">
        <w:rPr>
          <w:rFonts w:ascii="Arial" w:eastAsia="Calibri" w:hAnsi="Arial" w:cs="Arial"/>
          <w:lang w:val="es-ES"/>
        </w:rPr>
        <w:lastRenderedPageBreak/>
        <w:t>personas y/o la destrucción de los bienes que se encuentran en la edificación. Se excluye el riesgo de colapso en edificación causado por incendio y/o evento sísmico.</w:t>
      </w:r>
    </w:p>
    <w:p w14:paraId="6F6F56E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colapso de una estructura es la situación en la que una construcción se rompe en pedazos y se desploma al suelo. Sin embargo, en la amplitud de usos que permite el término, podemos extenderlo a aquellas situaciones que, sin llegar a la fragmentación y desmoronamiento, constituyen severos daños a una edificación al punto de quedar inutilizable en condiciones de seguridad.</w:t>
      </w:r>
    </w:p>
    <w:p w14:paraId="1D658954"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principio sobre el cual reposa el diseño y construcción de edificaciones se concibe con la finalidad de que estas no colapsen ni se derrumben abruptamente, permitiendo la evacuación de las personas y, con ello, la salvaguarda de la vida y, en lo posible, también del patrimonio que se encuentre en ellas.</w:t>
      </w:r>
    </w:p>
    <w:p w14:paraId="5B5211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colapso estructural al que se refieren las ITSE, se entiende asimismo como aquellas condiciones en que la estructura o la edificación se ven limitadas o no pueden desempeñarse de acuerdo a lo proyectado inicialmente.</w:t>
      </w:r>
    </w:p>
    <w:p w14:paraId="7688F2C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Otra forma de expresar el colapso estructural, es aquella situación en la que la estructura o parte de ella cesa de desempeñar su función satisfactoriamente. Es importante considerar que la estructura o los elementos estructurales son el componente que permite que la edificación se mantenga en pie.</w:t>
      </w:r>
    </w:p>
    <w:p w14:paraId="7ED663E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situación de colapso estructural puede tener diferentes y múltiples causas:</w:t>
      </w:r>
    </w:p>
    <w:p w14:paraId="01C47EC0"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fallas o deficiencias en el diseño, al asumir hipótesis de diseño inadecuadas o considerar valores y parámetros diferentes a las condiciones de uso proyectadas, al momento de la formulación del proyecto el diseñador tiene la potestad de asumir ciertas condiciones y valores que tengan como consecuencia daños y fallas al estar en uso la edificación.</w:t>
      </w:r>
    </w:p>
    <w:p w14:paraId="6A3F44C5"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183E1C2D"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mala calidad de la construcción, la ejecución de las obras de construcción requiere de pericia de los constructores, adecuada calidad de los materiales y supervisión permanente; errores o deficiencias en estos factores pueden ocasionar defectos no visibles pero de consecuencias muy graves.</w:t>
      </w:r>
    </w:p>
    <w:p w14:paraId="21CBB654"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1F1E6F09"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uso inadecuado de la edificación, el diseño de la edificación asume parámetros o valores para usos determinados, el cambio en las condiciones de uso puede significar variaciones en cargas o en equipamientos mecánicos no previstos que generen esfuerzos en la estructura que no hayan sido considerados en el diseño.</w:t>
      </w:r>
    </w:p>
    <w:p w14:paraId="6D9680C9"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41D79B07"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lastRenderedPageBreak/>
        <w:t>Por alteraciones o modificaciones inadecuadas de la edificación, las remodelaciones, acondicionamientos y refacciones en una edificación deben considerar las variaciones que impondrán a las condiciones de diseño original, no se pueden pasar por alto los refuerzos que sean necesarios para las nuevas condiciones de uso.</w:t>
      </w:r>
    </w:p>
    <w:p w14:paraId="076326B3"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01D05BA0"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la vida útil del diseño y la fatiga de los materiales, con el tiempo las estructuras son sometidas a procesos de carga y descarga según la intensidad de uso que tengan, adicionalmente los procesos naturales de variación térmica, sumados a los de intemperismo, provocan daños mínimos que se van acumulando en el tiempo al punto que la estructura puede ir debilitándose paulatinamente.</w:t>
      </w:r>
    </w:p>
    <w:p w14:paraId="3157BE40"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0E2A6EC7"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presencia de fisuras y/o agrietamientos en las estructuras de la edificación, pandeos y deflexiones en estructuras de madera, edificaciones deterioradas por la intemperie, humedad, otros.</w:t>
      </w:r>
    </w:p>
    <w:p w14:paraId="0CE88464"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4F2B975D"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haberse construido sin tener en cuenta el tipo de suelo que puede ocasionar el colapso de la edificación tales como: suelos arcillosos, suelos colapsables o arenosos, rellenos sanitarios, otros.</w:t>
      </w:r>
    </w:p>
    <w:p w14:paraId="7F87EBDB" w14:textId="77777777" w:rsidR="00EE1454" w:rsidRPr="000B6755" w:rsidRDefault="00EE1454" w:rsidP="00EE1454">
      <w:pPr>
        <w:spacing w:after="200" w:line="276" w:lineRule="auto"/>
        <w:ind w:left="1276"/>
        <w:contextualSpacing/>
        <w:jc w:val="both"/>
        <w:rPr>
          <w:rFonts w:ascii="Arial" w:eastAsia="Calibri" w:hAnsi="Arial" w:cs="Arial"/>
          <w:lang w:val="es-ES"/>
        </w:rPr>
      </w:pPr>
    </w:p>
    <w:p w14:paraId="565ABCFA"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consecuencias del colapso estructural son materialmente muy graves, cuando una estructura o edificación colapsa o está a punto de colapsar la pérdida es total, en muchos casos las reparaciones o reforzamientos son considerablemente onerosos al punto que una edificación nueva es más económica incluyendo los costos de demolición.</w:t>
      </w:r>
    </w:p>
    <w:p w14:paraId="721095C3" w14:textId="629916F9"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No obstante, estos costos no son comparables a la pérdida de vidas que puede acarrear el colapso abrupto o repentino de una edificación. La literatura científica y publicaciones periodísticas dan cuenta de tragedias suscitadas en diferentes partes del mundo donde el colapso o desplome de edificaciones lleva consigo una carga de fatalidades siempre numerosa.</w:t>
      </w:r>
    </w:p>
    <w:p w14:paraId="365144C6" w14:textId="6A710F9F" w:rsidR="00AB66CD" w:rsidRPr="000B6755" w:rsidRDefault="00DB63E2" w:rsidP="007B4039">
      <w:pPr>
        <w:spacing w:after="200" w:line="276" w:lineRule="auto"/>
        <w:ind w:left="1276"/>
        <w:contextualSpacing/>
        <w:jc w:val="both"/>
        <w:outlineLvl w:val="2"/>
        <w:rPr>
          <w:rFonts w:ascii="Arial" w:eastAsia="Calibri" w:hAnsi="Arial" w:cs="Arial"/>
          <w:b/>
          <w:lang w:val="es-ES"/>
        </w:rPr>
      </w:pPr>
      <w:bookmarkStart w:id="3" w:name="_Toc468707784"/>
      <w:r w:rsidRPr="000B6755">
        <w:rPr>
          <w:rFonts w:ascii="Arial" w:eastAsia="Calibri" w:hAnsi="Arial" w:cs="Arial"/>
          <w:b/>
          <w:lang w:val="es-ES"/>
        </w:rPr>
        <w:t xml:space="preserve">I.3. </w:t>
      </w:r>
      <w:r w:rsidR="00AB66CD" w:rsidRPr="000B6755">
        <w:rPr>
          <w:rFonts w:ascii="Arial" w:eastAsia="Calibri" w:hAnsi="Arial" w:cs="Arial"/>
          <w:b/>
          <w:lang w:val="es-ES"/>
        </w:rPr>
        <w:t>OTROS RIESGOS</w:t>
      </w:r>
      <w:bookmarkEnd w:id="3"/>
      <w:r w:rsidR="000E6FD7">
        <w:rPr>
          <w:rFonts w:ascii="Arial" w:eastAsia="Calibri" w:hAnsi="Arial" w:cs="Arial"/>
          <w:b/>
          <w:lang w:val="es-ES"/>
        </w:rPr>
        <w:t xml:space="preserve"> VICULADOS A LA ACTIVIDAD</w:t>
      </w:r>
    </w:p>
    <w:p w14:paraId="66C83F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seguridad de las personas puede ser afectada por peligros que son propios o están asociados intrínsecamente a la infraestructura, ya sea por sus condiciones de diseño o en casos por el equipamiento que contengan.</w:t>
      </w:r>
    </w:p>
    <w:p w14:paraId="2B4BACF8"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Su mención se hace en función a la frecuencia con la que se presentan incidentes o siniestros y con la severidad en términos de daños. Es importante mencionar que en este caso el criterio adoptado se enfoca exclusivamente en el riesgo para la vida e </w:t>
      </w:r>
      <w:r w:rsidRPr="000B6755">
        <w:rPr>
          <w:rFonts w:ascii="Arial" w:eastAsia="Calibri" w:hAnsi="Arial" w:cs="Arial"/>
          <w:lang w:val="es-ES"/>
        </w:rPr>
        <w:lastRenderedPageBreak/>
        <w:t>integridad de las personas, en tanto estos peligros no afectan el patrimonio que pueda albergar una determinada edificación.</w:t>
      </w:r>
    </w:p>
    <w:p w14:paraId="11377AB1" w14:textId="6A981109"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4" w:name="_Toc468707785"/>
      <w:r w:rsidRPr="000B6755">
        <w:rPr>
          <w:rFonts w:ascii="Arial" w:eastAsia="Calibri" w:hAnsi="Arial" w:cs="Arial"/>
          <w:b/>
          <w:lang w:val="es-ES"/>
        </w:rPr>
        <w:t xml:space="preserve">I.3.1. </w:t>
      </w:r>
      <w:r w:rsidR="00AB66CD" w:rsidRPr="000B6755">
        <w:rPr>
          <w:rFonts w:ascii="Arial" w:eastAsia="Calibri" w:hAnsi="Arial" w:cs="Arial"/>
          <w:b/>
          <w:lang w:val="es-ES"/>
        </w:rPr>
        <w:t>Riesgo de Electrocución</w:t>
      </w:r>
      <w:bookmarkEnd w:id="4"/>
    </w:p>
    <w:p w14:paraId="186A8E8D"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 generalidad de edificaciones o instalaciones cuenta con energía eléctrica, imprescindible para el desarrollo de casi todas las actividades humanas, al punto que la misma ha sido catalogada como uno de los servicios básicos.</w:t>
      </w:r>
    </w:p>
    <w:p w14:paraId="4AEB7E2E"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uso de la electricidad conlleva al riesgo de electrocución, definido como: “el daño que puede generar en el cuerpo humano el paso o circulación de la corriente eléctrica”.</w:t>
      </w:r>
    </w:p>
    <w:p w14:paraId="47548513"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Para que exista el riesgo de electrocución necesariamente debe haber por lo menos un circuito eléctrico instalado en la edificación.</w:t>
      </w:r>
    </w:p>
    <w:p w14:paraId="108205FE" w14:textId="77777777" w:rsidR="00AB66CD" w:rsidRPr="000B6755" w:rsidRDefault="00AB66CD" w:rsidP="0011669F">
      <w:pPr>
        <w:spacing w:after="200" w:line="276" w:lineRule="auto"/>
        <w:ind w:left="2268"/>
        <w:jc w:val="both"/>
        <w:rPr>
          <w:rFonts w:ascii="Arial" w:eastAsia="Calibri" w:hAnsi="Arial" w:cs="Arial"/>
          <w:u w:val="words"/>
          <w:lang w:val="es-ES"/>
        </w:rPr>
      </w:pPr>
      <w:r w:rsidRPr="000B6755">
        <w:rPr>
          <w:rFonts w:ascii="Arial" w:eastAsia="Calibri" w:hAnsi="Arial" w:cs="Arial"/>
          <w:lang w:val="es-ES"/>
        </w:rPr>
        <w:t>La posibilidad de circulación de corriente eléctrica por el cuerpo humano está asociada a su composición muy alta en fluidos; al entrar en contacto con un circuito eléctrico el cuerpo humano puede pasar a formar parte de él si no está aislado. El aislamiento del cuerpo humano hace que no existan puntos de entrada y salida de la corriente eléctrica.</w:t>
      </w:r>
    </w:p>
    <w:p w14:paraId="672C9DD0" w14:textId="07C67445"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Los siniestros o incidentes de electrocución pueden ser directos, si es que la corriente eléctrica circula por el cuerpo humano, ocasionando daños como: fibrilación ventricular y paro cardiaco subsecuente, asfixia y paro respiratorio, agarrotamiento muscular y quemaduras superficiales y profundas. Los siniestros indirectos pueden ocurrir por deficiencias o mal funcionamiento del sistema eléctrico, ya que al entrar en contacto con un circuito eléctrico y no formar parte de él, el cuerpo humano puede ser repelido ocasionando caídas y golpes en algunos casos de mucha severidad.</w:t>
      </w:r>
    </w:p>
    <w:p w14:paraId="35AF2BC6" w14:textId="63672CBE"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En este caso también cabe la posibilidad de efectos indirectos por la ocurrencia de arcos eléctricos que ocasionan quemaduras en las personas cercanas.</w:t>
      </w:r>
    </w:p>
    <w:p w14:paraId="1C2F2466"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eléctrico en una edificación está en función a la dimensión y características de su sistema eléctrico. A mayor equipamiento eléctrico serán mayores las posibilidades de contacto de las personas que utilicen la edificación. Por otro lado, a menor calidad y cumplimiento de normas técnicas del sistema eléctrico, será mayor el riesgo de incidentes y siniestros.</w:t>
      </w:r>
    </w:p>
    <w:p w14:paraId="57940BE2"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 xml:space="preserve">Otras causas que originan el riesgo de electrocución son: la inadecuada conexión eléctrica, falta de un sistema de puesta a tierra, deficiencias en sistemas de protección de contactos </w:t>
      </w:r>
      <w:r w:rsidRPr="000B6755">
        <w:rPr>
          <w:rFonts w:ascii="Arial" w:eastAsia="Calibri" w:hAnsi="Arial" w:cs="Arial"/>
          <w:lang w:val="es-ES"/>
        </w:rPr>
        <w:lastRenderedPageBreak/>
        <w:t>directos (interruptores diferenciales), cables expuestos, inadecuado mantenimiento de las instalaciones y maquinarias, inadecuados empalmes, pérdida de aislamiento de cable, otros. Estas causas deben estar minimizadas y controladas con la finalidad de reducir el riesgo.</w:t>
      </w:r>
    </w:p>
    <w:p w14:paraId="6598CB18" w14:textId="66D26520"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5" w:name="_Toc468707786"/>
      <w:r w:rsidRPr="000B6755">
        <w:rPr>
          <w:rFonts w:ascii="Arial" w:eastAsia="Calibri" w:hAnsi="Arial" w:cs="Arial"/>
          <w:b/>
          <w:lang w:val="es-ES"/>
        </w:rPr>
        <w:t xml:space="preserve">I.3.2. </w:t>
      </w:r>
      <w:r w:rsidR="00AB66CD" w:rsidRPr="000B6755">
        <w:rPr>
          <w:rFonts w:ascii="Arial" w:eastAsia="Calibri" w:hAnsi="Arial" w:cs="Arial"/>
          <w:b/>
          <w:lang w:val="es-ES"/>
        </w:rPr>
        <w:t>Riesgo de caídas</w:t>
      </w:r>
      <w:bookmarkEnd w:id="5"/>
    </w:p>
    <w:p w14:paraId="31B44A6F"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de caídas está referido a la posibilidad de que las personas o usuarios de una instalación puedan precipitarse o desplomarse en desniveles, espacios vacíos o superficies a diferente altura, debido a que la infraestructura no cuenta con los medios de protección que exige la respectiva norma de construcción.</w:t>
      </w:r>
    </w:p>
    <w:p w14:paraId="6C9861AF" w14:textId="49529061"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 frecuencia de estas ocurrencias es muy alta y aun cuando la severidad de los daños, en muchos casos no es de gran magnitud, es importante considerar esta posibilidad, ya que puede ponerse en riesgo la vida de las personas y generarse secuelas que afecten la calidad de vida luego de este tipo de siniestros.</w:t>
      </w:r>
    </w:p>
    <w:p w14:paraId="2CE85CDA"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Las condiciones de seguridad de la edificación consideran la colocación de barandas a determinado desnivel como medio de protección. No obstante, suceden casos en los que adecuaciones o carencias de mantenimiento y control pueden generar puntos críticos de peligro en las edificaciones.</w:t>
      </w:r>
    </w:p>
    <w:p w14:paraId="2E5B7BD3" w14:textId="00377B4D"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6" w:name="_Toc468707787"/>
      <w:r w:rsidRPr="000B6755">
        <w:rPr>
          <w:rFonts w:ascii="Arial" w:eastAsia="Calibri" w:hAnsi="Arial" w:cs="Arial"/>
          <w:b/>
          <w:lang w:val="es-ES"/>
        </w:rPr>
        <w:t>I.3.</w:t>
      </w:r>
      <w:r w:rsidR="00DC2C10" w:rsidRPr="000B6755">
        <w:rPr>
          <w:rFonts w:ascii="Arial" w:eastAsia="Calibri" w:hAnsi="Arial" w:cs="Arial"/>
          <w:b/>
          <w:lang w:val="es-ES"/>
        </w:rPr>
        <w:t>3</w:t>
      </w:r>
      <w:r w:rsidRPr="000B6755">
        <w:rPr>
          <w:rFonts w:ascii="Arial" w:eastAsia="Calibri" w:hAnsi="Arial" w:cs="Arial"/>
          <w:b/>
          <w:lang w:val="es-ES"/>
        </w:rPr>
        <w:t xml:space="preserve"> </w:t>
      </w:r>
      <w:r w:rsidR="00AB66CD" w:rsidRPr="000B6755">
        <w:rPr>
          <w:rFonts w:ascii="Arial" w:eastAsia="Calibri" w:hAnsi="Arial" w:cs="Arial"/>
          <w:b/>
          <w:lang w:val="es-ES"/>
        </w:rPr>
        <w:t>Riesgo de falla en equipos y estructuras de soporte</w:t>
      </w:r>
      <w:bookmarkEnd w:id="6"/>
    </w:p>
    <w:p w14:paraId="443092B1"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de falla en los equipos y estructuras de una edificación se relaciona a la posibilidad de ocasionar daños a la integridad de las personas, ya sea por aplastamientos, mutilaciones o atrapamiento, entre otros.</w:t>
      </w:r>
    </w:p>
    <w:p w14:paraId="167878FA"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Existen diversos tipos de equipos mecánicos y electromecánicos (escaleras mecánicas, ascensores, montacargas, entre otros), cada uno de ellos con especificaciones técnicas tanto de instalación como de utilización. La seguridad de las mismas está en función al cumplimiento de las exigencias mínimas de operatividad, mantenimiento y uso.</w:t>
      </w:r>
    </w:p>
    <w:p w14:paraId="26C5DF25" w14:textId="6A4D96FD" w:rsidR="00AB66CD"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También se consideran las fallas de las estructuras que soportan las antenas y/o paneles publicitarios, las estructuras metálicas de soporte de productos de almacenamiento (racks), los elementos de soporte de los equipos de aire acondicionado y montantes de instalaciones de agua, desagüe, otros, y la falla en las estructuras de los juegos infantiles.</w:t>
      </w:r>
    </w:p>
    <w:p w14:paraId="2E1C6CE3" w14:textId="4A189BC6" w:rsidR="00783235" w:rsidRPr="00783235" w:rsidRDefault="00783235" w:rsidP="00783235">
      <w:pPr>
        <w:spacing w:after="200" w:line="276" w:lineRule="auto"/>
        <w:ind w:left="1843" w:hanging="142"/>
        <w:contextualSpacing/>
        <w:jc w:val="both"/>
        <w:outlineLvl w:val="3"/>
        <w:rPr>
          <w:rFonts w:ascii="Arial" w:eastAsia="Calibri" w:hAnsi="Arial" w:cs="Arial"/>
          <w:b/>
          <w:lang w:val="es-ES"/>
        </w:rPr>
      </w:pPr>
      <w:r w:rsidRPr="00783235">
        <w:rPr>
          <w:rFonts w:ascii="Arial" w:eastAsia="Calibri" w:hAnsi="Arial" w:cs="Arial"/>
          <w:b/>
          <w:lang w:val="es-ES"/>
        </w:rPr>
        <w:t>I.</w:t>
      </w:r>
      <w:r>
        <w:rPr>
          <w:rFonts w:ascii="Arial" w:eastAsia="Calibri" w:hAnsi="Arial" w:cs="Arial"/>
          <w:b/>
          <w:lang w:val="es-ES"/>
        </w:rPr>
        <w:t>3.4</w:t>
      </w:r>
      <w:r w:rsidRPr="00783235">
        <w:rPr>
          <w:rFonts w:ascii="Arial" w:eastAsia="Calibri" w:hAnsi="Arial" w:cs="Arial"/>
          <w:b/>
          <w:lang w:val="es-ES"/>
        </w:rPr>
        <w:t>. O</w:t>
      </w:r>
      <w:r>
        <w:rPr>
          <w:rFonts w:ascii="Arial" w:eastAsia="Calibri" w:hAnsi="Arial" w:cs="Arial"/>
          <w:b/>
          <w:lang w:val="es-ES"/>
        </w:rPr>
        <w:t>tros riesgos vinculados a la actividad</w:t>
      </w:r>
    </w:p>
    <w:p w14:paraId="138A0819" w14:textId="3F13F300" w:rsidR="00783235" w:rsidRPr="00783235" w:rsidRDefault="00783235" w:rsidP="00783235">
      <w:pPr>
        <w:spacing w:after="200" w:line="276" w:lineRule="auto"/>
        <w:ind w:left="2268"/>
        <w:jc w:val="both"/>
        <w:rPr>
          <w:rFonts w:ascii="Arial" w:eastAsia="Calibri" w:hAnsi="Arial" w:cs="Arial"/>
          <w:lang w:val="es-ES"/>
        </w:rPr>
      </w:pPr>
      <w:r w:rsidRPr="00783235">
        <w:rPr>
          <w:rFonts w:ascii="Arial" w:eastAsia="Calibri" w:hAnsi="Arial" w:cs="Arial"/>
          <w:lang w:val="es-ES"/>
        </w:rPr>
        <w:lastRenderedPageBreak/>
        <w:t xml:space="preserve">Otros riesgos relevantes considerados en la </w:t>
      </w:r>
      <w:r>
        <w:rPr>
          <w:rFonts w:ascii="Arial" w:eastAsia="Calibri" w:hAnsi="Arial" w:cs="Arial"/>
          <w:lang w:val="es-ES"/>
        </w:rPr>
        <w:t xml:space="preserve">ITSE están relacionados al tipo de instalaciones o equipamientos que cuenta el Establecimiento Objeto de Inspección, tales como el uso de los cilindros de gas licuado de petróleo en cocinas, calderos, entre otros, que </w:t>
      </w:r>
      <w:r w:rsidR="00AD05D8">
        <w:rPr>
          <w:rFonts w:ascii="Arial" w:eastAsia="Calibri" w:hAnsi="Arial" w:cs="Arial"/>
          <w:lang w:val="es-ES"/>
        </w:rPr>
        <w:t xml:space="preserve">incrementan el </w:t>
      </w:r>
      <w:r>
        <w:rPr>
          <w:rFonts w:ascii="Arial" w:eastAsia="Calibri" w:hAnsi="Arial" w:cs="Arial"/>
          <w:lang w:val="es-ES"/>
        </w:rPr>
        <w:t xml:space="preserve">riesgo </w:t>
      </w:r>
      <w:r w:rsidR="00AD05D8">
        <w:rPr>
          <w:rFonts w:ascii="Arial" w:eastAsia="Calibri" w:hAnsi="Arial" w:cs="Arial"/>
          <w:lang w:val="es-ES"/>
        </w:rPr>
        <w:t xml:space="preserve">del Establecimiento Objeto de Inspección. La verificación del cumplimiento de las condiciones de seguridad de este tipo de instalaciones o equipamientos se realiza </w:t>
      </w:r>
      <w:r w:rsidRPr="00783235">
        <w:rPr>
          <w:rFonts w:ascii="Arial" w:eastAsia="Calibri" w:hAnsi="Arial" w:cs="Arial"/>
          <w:lang w:val="es-ES"/>
        </w:rPr>
        <w:t>en los formatos de actas e informes de la ECSE.</w:t>
      </w:r>
    </w:p>
    <w:p w14:paraId="574F12FF" w14:textId="77777777" w:rsidR="00586E81" w:rsidRPr="000B6755" w:rsidRDefault="00586E81" w:rsidP="00AD498D">
      <w:pPr>
        <w:spacing w:after="0" w:line="276" w:lineRule="auto"/>
        <w:jc w:val="both"/>
        <w:rPr>
          <w:rFonts w:ascii="Arial" w:eastAsia="Calibri" w:hAnsi="Arial" w:cs="Arial"/>
          <w:lang w:val="es-ES"/>
        </w:rPr>
      </w:pPr>
    </w:p>
    <w:p w14:paraId="54E46714" w14:textId="6B484DA2" w:rsidR="00AD498D" w:rsidRPr="000B6755" w:rsidRDefault="00EE1454" w:rsidP="00B54101">
      <w:pPr>
        <w:spacing w:after="200" w:line="276" w:lineRule="auto"/>
        <w:ind w:left="1701" w:hanging="425"/>
        <w:contextualSpacing/>
        <w:jc w:val="both"/>
        <w:outlineLvl w:val="2"/>
        <w:rPr>
          <w:rFonts w:ascii="Arial" w:eastAsia="Calibri" w:hAnsi="Arial" w:cs="Arial"/>
          <w:b/>
          <w:lang w:val="es-ES"/>
        </w:rPr>
      </w:pPr>
      <w:bookmarkStart w:id="7" w:name="_Toc468707822"/>
      <w:r w:rsidRPr="000B6755">
        <w:rPr>
          <w:rFonts w:ascii="Arial" w:eastAsia="Calibri" w:hAnsi="Arial" w:cs="Arial"/>
          <w:b/>
          <w:lang w:val="es-ES"/>
        </w:rPr>
        <w:t xml:space="preserve">I.4. </w:t>
      </w:r>
      <w:r w:rsidR="00AD498D" w:rsidRPr="000B6755">
        <w:rPr>
          <w:rFonts w:ascii="Arial" w:eastAsia="Calibri" w:hAnsi="Arial" w:cs="Arial"/>
          <w:b/>
          <w:lang w:val="es-ES"/>
        </w:rPr>
        <w:t>ASPECTOS A VERIFICAR EN LA INSPECCIÓN TÉCNICA DE SEGURIDAD EN EDIFICACIONES</w:t>
      </w:r>
      <w:bookmarkEnd w:id="7"/>
    </w:p>
    <w:p w14:paraId="5953533D" w14:textId="52F20963" w:rsidR="00AD498D" w:rsidRPr="000B6755" w:rsidRDefault="00AD498D" w:rsidP="00B54101">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En la diligencia de ITSE se evalúan los factores que originan los riesgos de incendio, colapso y otros riesgos vinculados a la actividad que se desarrolla; así como las </w:t>
      </w:r>
      <w:r w:rsidRPr="000B6755">
        <w:rPr>
          <w:rFonts w:ascii="Arial" w:eastAsia="Calibri" w:hAnsi="Arial" w:cs="Arial"/>
        </w:rPr>
        <w:t xml:space="preserve">Condiciones de Seguridad, </w:t>
      </w:r>
      <w:r w:rsidRPr="000B6755">
        <w:rPr>
          <w:rFonts w:ascii="Arial" w:eastAsia="Calibri" w:hAnsi="Arial" w:cs="Arial"/>
          <w:lang w:val="es-ES"/>
        </w:rPr>
        <w:t>verificando la implementación de las medidas de seguridad con que cuenta el Establecimiento Objeto de Inspección con la finalidad de tener control sobre estos riesgos.</w:t>
      </w:r>
    </w:p>
    <w:p w14:paraId="6CAD375B" w14:textId="026CBFD8" w:rsidR="00AD498D" w:rsidRPr="000B6755" w:rsidRDefault="00AD498D" w:rsidP="00B54101">
      <w:pPr>
        <w:spacing w:after="200" w:line="276" w:lineRule="auto"/>
        <w:ind w:left="1701"/>
        <w:jc w:val="both"/>
        <w:rPr>
          <w:rFonts w:ascii="Arial" w:eastAsia="Calibri" w:hAnsi="Arial" w:cs="Arial"/>
          <w:lang w:val="es-ES"/>
        </w:rPr>
      </w:pPr>
      <w:r w:rsidRPr="000B6755">
        <w:rPr>
          <w:rFonts w:ascii="Arial" w:eastAsia="Calibri" w:hAnsi="Arial" w:cs="Arial"/>
        </w:rPr>
        <w:t xml:space="preserve">En </w:t>
      </w:r>
      <w:r w:rsidR="0058796B">
        <w:rPr>
          <w:rFonts w:ascii="Arial" w:eastAsia="Calibri" w:hAnsi="Arial" w:cs="Arial"/>
        </w:rPr>
        <w:t>los formatos de actas e informes de ITSE</w:t>
      </w:r>
      <w:r w:rsidR="00A13258">
        <w:rPr>
          <w:rFonts w:ascii="Arial" w:eastAsia="Calibri" w:hAnsi="Arial" w:cs="Arial"/>
        </w:rPr>
        <w:t xml:space="preserve"> y VISE</w:t>
      </w:r>
      <w:r w:rsidR="0058796B">
        <w:rPr>
          <w:rFonts w:ascii="Arial" w:eastAsia="Calibri" w:hAnsi="Arial" w:cs="Arial"/>
        </w:rPr>
        <w:t xml:space="preserve">, </w:t>
      </w:r>
      <w:r w:rsidRPr="000B6755">
        <w:rPr>
          <w:rFonts w:ascii="Arial" w:eastAsia="Calibri" w:hAnsi="Arial" w:cs="Arial"/>
        </w:rPr>
        <w:t xml:space="preserve">se indican las referencias técnicas establecidas en el Reglamento Nacional de Construcciones, Reglamento Nacional de Edificaciones, Código Nacional de Electricidad, Normas Técnicas Peruanas, Normas Sectoriales y otras relacionadas a la seguridad en edificaciones, las mismas que </w:t>
      </w:r>
      <w:r w:rsidR="00F17B35">
        <w:rPr>
          <w:rFonts w:ascii="Arial" w:eastAsia="Calibri" w:hAnsi="Arial" w:cs="Arial"/>
        </w:rPr>
        <w:t xml:space="preserve">permiten </w:t>
      </w:r>
      <w:r w:rsidRPr="000B6755">
        <w:rPr>
          <w:rFonts w:ascii="Arial" w:eastAsia="Calibri" w:hAnsi="Arial" w:cs="Arial"/>
        </w:rPr>
        <w:t>la verificación del cumplimiento de las condiciones de seguridad en los Establecimientos Objeto de Inspección</w:t>
      </w:r>
      <w:r w:rsidR="00F17B35">
        <w:rPr>
          <w:rFonts w:ascii="Arial" w:eastAsia="Calibri" w:hAnsi="Arial" w:cs="Arial"/>
        </w:rPr>
        <w:t xml:space="preserve"> ante los riesgos de </w:t>
      </w:r>
      <w:r w:rsidRPr="000B6755">
        <w:rPr>
          <w:rFonts w:ascii="Arial" w:eastAsia="Calibri" w:hAnsi="Arial" w:cs="Arial"/>
        </w:rPr>
        <w:t>incendio, colapso y otros relacionados a la actividad que se desarrolla.</w:t>
      </w:r>
    </w:p>
    <w:p w14:paraId="4C3182FD" w14:textId="4FD72FA5" w:rsidR="00AD498D" w:rsidRPr="000B6755" w:rsidRDefault="00EE1454" w:rsidP="00B54101">
      <w:pPr>
        <w:spacing w:after="200" w:line="276" w:lineRule="auto"/>
        <w:ind w:left="786" w:firstLine="915"/>
        <w:contextualSpacing/>
        <w:jc w:val="both"/>
        <w:outlineLvl w:val="1"/>
        <w:rPr>
          <w:rFonts w:ascii="Arial" w:eastAsia="Calibri" w:hAnsi="Arial" w:cs="Arial"/>
          <w:b/>
          <w:lang w:val="es-ES"/>
        </w:rPr>
      </w:pPr>
      <w:bookmarkStart w:id="8" w:name="_Toc468697808"/>
      <w:bookmarkStart w:id="9" w:name="_Toc468698449"/>
      <w:bookmarkStart w:id="10" w:name="_Toc468700210"/>
      <w:bookmarkStart w:id="11" w:name="_Toc468701237"/>
      <w:bookmarkStart w:id="12" w:name="_Toc468707662"/>
      <w:bookmarkStart w:id="13" w:name="_Toc468707823"/>
      <w:bookmarkStart w:id="14" w:name="_Toc468697809"/>
      <w:bookmarkStart w:id="15" w:name="_Toc468698450"/>
      <w:bookmarkStart w:id="16" w:name="_Toc468700211"/>
      <w:bookmarkStart w:id="17" w:name="_Toc468701238"/>
      <w:bookmarkStart w:id="18" w:name="_Toc468707663"/>
      <w:bookmarkStart w:id="19" w:name="_Toc468707824"/>
      <w:bookmarkStart w:id="20" w:name="_Toc468697810"/>
      <w:bookmarkStart w:id="21" w:name="_Toc468698451"/>
      <w:bookmarkStart w:id="22" w:name="_Toc468700212"/>
      <w:bookmarkStart w:id="23" w:name="_Toc468701239"/>
      <w:bookmarkStart w:id="24" w:name="_Toc468707664"/>
      <w:bookmarkStart w:id="25" w:name="_Toc468707825"/>
      <w:bookmarkStart w:id="26" w:name="_Toc4687078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B6755">
        <w:rPr>
          <w:rFonts w:ascii="Arial" w:eastAsia="Calibri" w:hAnsi="Arial" w:cs="Arial"/>
          <w:b/>
          <w:lang w:val="es-ES"/>
        </w:rPr>
        <w:t xml:space="preserve">I.4.1. </w:t>
      </w:r>
      <w:r w:rsidR="00AD498D" w:rsidRPr="000B6755">
        <w:rPr>
          <w:rFonts w:ascii="Arial" w:eastAsia="Calibri" w:hAnsi="Arial" w:cs="Arial"/>
          <w:b/>
          <w:lang w:val="es-ES"/>
        </w:rPr>
        <w:t>RIESGO DE INCENDIO</w:t>
      </w:r>
      <w:bookmarkEnd w:id="26"/>
    </w:p>
    <w:p w14:paraId="227AF12A" w14:textId="0D4BA715" w:rsidR="00AD498D" w:rsidRPr="000B6755" w:rsidRDefault="00EE1454" w:rsidP="00B54101">
      <w:pPr>
        <w:spacing w:after="200" w:line="276" w:lineRule="auto"/>
        <w:ind w:firstLine="2268"/>
        <w:contextualSpacing/>
        <w:jc w:val="both"/>
        <w:outlineLvl w:val="2"/>
        <w:rPr>
          <w:rFonts w:ascii="Arial" w:eastAsia="Calibri" w:hAnsi="Arial" w:cs="Arial"/>
          <w:b/>
          <w:lang w:val="es-ES"/>
        </w:rPr>
      </w:pPr>
      <w:bookmarkStart w:id="27" w:name="_Toc468707827"/>
      <w:r w:rsidRPr="000B6755">
        <w:rPr>
          <w:rFonts w:ascii="Arial" w:eastAsia="Calibri" w:hAnsi="Arial" w:cs="Arial"/>
          <w:b/>
          <w:lang w:val="es-ES"/>
        </w:rPr>
        <w:t xml:space="preserve">I.4.1.1. </w:t>
      </w:r>
      <w:r w:rsidR="00AD498D" w:rsidRPr="000B6755">
        <w:rPr>
          <w:rFonts w:ascii="Arial" w:eastAsia="Calibri" w:hAnsi="Arial" w:cs="Arial"/>
          <w:b/>
          <w:lang w:val="es-ES"/>
        </w:rPr>
        <w:t>IDENTIFICACIÓN DE FUENTES DE IGNICIÓN</w:t>
      </w:r>
      <w:bookmarkEnd w:id="27"/>
    </w:p>
    <w:p w14:paraId="61829626"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Corresponde al factor temperatura o calor, el cual es preciso para que se origine combustión.</w:t>
      </w:r>
    </w:p>
    <w:p w14:paraId="69C70AFD"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fuentes de ignición son aquellos elementos que por su naturaleza o su forma de funcionamiento provocan calor o el incremento notable de temperatura, ya sea en forma visible (llama o chispa) o invisible con elementos y accesorios (resistencias o disipadores) que irradien calor o gases o humos.</w:t>
      </w:r>
    </w:p>
    <w:p w14:paraId="13FD8E4A"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ocasiones más comunes en las que se presentan fuentes de ignición pueden ser:</w:t>
      </w:r>
    </w:p>
    <w:p w14:paraId="01486276" w14:textId="77777777" w:rsidR="00AD498D" w:rsidRPr="000B6755" w:rsidRDefault="00AD498D" w:rsidP="00E204FD">
      <w:pPr>
        <w:numPr>
          <w:ilvl w:val="3"/>
          <w:numId w:val="6"/>
        </w:numPr>
        <w:spacing w:after="200" w:line="276" w:lineRule="auto"/>
        <w:ind w:left="3261" w:hanging="284"/>
        <w:contextualSpacing/>
        <w:jc w:val="both"/>
        <w:rPr>
          <w:rFonts w:ascii="Arial" w:eastAsia="Calibri" w:hAnsi="Arial" w:cs="Arial"/>
          <w:lang w:val="es-ES"/>
        </w:rPr>
      </w:pPr>
      <w:r w:rsidRPr="000B6755">
        <w:rPr>
          <w:rFonts w:ascii="Arial" w:eastAsia="Calibri" w:hAnsi="Arial" w:cs="Arial"/>
          <w:lang w:val="es-ES"/>
        </w:rPr>
        <w:t>Instalaciones eléctricas, considerando el recalentamiento de cables por sobrecarga eléctrica, pérdida de aislamiento, conexiones defectuosas o que generen chispa eléctrica.</w:t>
      </w:r>
    </w:p>
    <w:p w14:paraId="50F5F779"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lastRenderedPageBreak/>
        <w:t>Equipamiento mecánico, incluso de uso eventual, indistintamente de su fuente de energía, en tanto puede ocasionar fricción, impacto, dilatación de materiales, etc., tales como los ascensores, escaleras mecánicas, elevadores, montacargas, grupos electrógenos, otros.</w:t>
      </w:r>
    </w:p>
    <w:p w14:paraId="0723B60D"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t>Equipos de combustión como calefactores, calderos, hornillas, quemadores, cocinas, ya sean de uso permanente o eventual en los procesos de producción o actividades que se desarrollen en el Establecimiento Objeto de Inspección.</w:t>
      </w:r>
    </w:p>
    <w:p w14:paraId="000BCE8B"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t>Procesos industriales o de producción mecanizada o automatizada.</w:t>
      </w:r>
    </w:p>
    <w:p w14:paraId="5FFF585A" w14:textId="77777777" w:rsidR="00AD498D" w:rsidRPr="000B6755" w:rsidRDefault="00AD498D" w:rsidP="00E204FD">
      <w:pPr>
        <w:spacing w:after="0" w:line="276" w:lineRule="auto"/>
        <w:ind w:left="3261" w:hanging="284"/>
        <w:jc w:val="both"/>
        <w:rPr>
          <w:rFonts w:ascii="Arial" w:eastAsia="Calibri" w:hAnsi="Arial" w:cs="Arial"/>
          <w:lang w:val="es-ES"/>
        </w:rPr>
      </w:pPr>
    </w:p>
    <w:p w14:paraId="61ED54D4"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condiciones de seguridad de estos elementos que son parte del Establecimiento Objeto de Inspección deben ser verificadas en la totalidad del recinto considerando su uso aun cuando sea de carácter esporádico o eventual.</w:t>
      </w:r>
    </w:p>
    <w:p w14:paraId="68DC3236" w14:textId="1AF979DB" w:rsidR="00AD498D" w:rsidRPr="000B6755" w:rsidRDefault="0069262F" w:rsidP="003910F3">
      <w:pPr>
        <w:spacing w:after="200" w:line="276" w:lineRule="auto"/>
        <w:ind w:firstLine="2268"/>
        <w:contextualSpacing/>
        <w:jc w:val="both"/>
        <w:outlineLvl w:val="2"/>
        <w:rPr>
          <w:rFonts w:ascii="Arial" w:eastAsia="Calibri" w:hAnsi="Arial" w:cs="Arial"/>
          <w:b/>
          <w:lang w:val="es-ES"/>
        </w:rPr>
      </w:pPr>
      <w:bookmarkStart w:id="28" w:name="_Toc468707828"/>
      <w:r w:rsidRPr="000B6755">
        <w:rPr>
          <w:rFonts w:ascii="Arial" w:eastAsia="Calibri" w:hAnsi="Arial" w:cs="Arial"/>
          <w:b/>
          <w:lang w:val="es-ES"/>
        </w:rPr>
        <w:t xml:space="preserve">I.4.1.2. </w:t>
      </w:r>
      <w:r w:rsidR="00AD498D" w:rsidRPr="000B6755">
        <w:rPr>
          <w:rFonts w:ascii="Arial" w:eastAsia="Calibri" w:hAnsi="Arial" w:cs="Arial"/>
          <w:b/>
          <w:lang w:val="es-ES"/>
        </w:rPr>
        <w:t>IDENTIFICACIÓN DE MATERIALES COMBUSTIBLES</w:t>
      </w:r>
      <w:bookmarkEnd w:id="28"/>
    </w:p>
    <w:p w14:paraId="627F42B8" w14:textId="77777777"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Corresponde al factor combustible para la generación de fuego, es preciso indicar que el factor comburente (oxigeno) está presente en la generalidad de los casos.</w:t>
      </w:r>
    </w:p>
    <w:p w14:paraId="472F6569" w14:textId="26132D78"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 xml:space="preserve">Existen innumerables tipos de material combustible, entre los más comunes </w:t>
      </w:r>
      <w:r w:rsidR="003910F3" w:rsidRPr="000B6755">
        <w:rPr>
          <w:rFonts w:ascii="Arial" w:eastAsia="Calibri" w:hAnsi="Arial" w:cs="Arial"/>
          <w:lang w:val="es-ES"/>
        </w:rPr>
        <w:t>tenemos la</w:t>
      </w:r>
      <w:r w:rsidRPr="000B6755">
        <w:rPr>
          <w:rFonts w:ascii="Arial" w:eastAsia="Calibri" w:hAnsi="Arial" w:cs="Arial"/>
          <w:lang w:val="es-ES"/>
        </w:rPr>
        <w:t xml:space="preserve"> madera, cartón, papel, plásticos, pinturas, solventes, gas licuado de petróleo, gas natural, gasolina, con diferentes características tanto de inflamación como de combustión. Para su estandarización, los usos convencionalmente aceptados han previsto la conversión en la denominada “Carga de fuego equivalente”.</w:t>
      </w:r>
    </w:p>
    <w:p w14:paraId="00523B73" w14:textId="0C7A5EE0"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Es importante mencionar el caso de los denominados materiales peligrosos. Para este fin es preciso considerar referencias técnicas estándar como el Sistema de Clasificación de Naciones Unidas o NFPA (704), de forma especial aquellos que podrían amplificar y complejizar los efectos de un siniestro o incendio convencional.</w:t>
      </w:r>
    </w:p>
    <w:p w14:paraId="6DBF5722" w14:textId="2E7567DD" w:rsidR="00AD498D" w:rsidRPr="000B6755" w:rsidRDefault="0069262F" w:rsidP="00762358">
      <w:pPr>
        <w:spacing w:after="200" w:line="276" w:lineRule="auto"/>
        <w:ind w:left="2977" w:hanging="709"/>
        <w:contextualSpacing/>
        <w:jc w:val="both"/>
        <w:outlineLvl w:val="2"/>
        <w:rPr>
          <w:rFonts w:ascii="Arial" w:eastAsia="Calibri" w:hAnsi="Arial" w:cs="Arial"/>
          <w:b/>
          <w:lang w:val="es-ES"/>
        </w:rPr>
      </w:pPr>
      <w:bookmarkStart w:id="29" w:name="_Toc468707829"/>
      <w:r w:rsidRPr="000B6755">
        <w:rPr>
          <w:rFonts w:ascii="Arial" w:eastAsia="Calibri" w:hAnsi="Arial" w:cs="Arial"/>
          <w:b/>
          <w:lang w:val="es-ES"/>
        </w:rPr>
        <w:t xml:space="preserve">I.4.1.3. </w:t>
      </w:r>
      <w:r w:rsidR="00AD498D" w:rsidRPr="000B6755">
        <w:rPr>
          <w:rFonts w:ascii="Arial" w:eastAsia="Calibri" w:hAnsi="Arial" w:cs="Arial"/>
          <w:b/>
          <w:lang w:val="es-ES"/>
        </w:rPr>
        <w:t>IDENTIFICACIÓN Y CARACTERIZACIÓN DE LOS MEDIOS DE PROTECCIÓN CONTRA INCENDIOS.</w:t>
      </w:r>
      <w:bookmarkEnd w:id="29"/>
    </w:p>
    <w:p w14:paraId="75094D9B" w14:textId="64DDBEB7" w:rsidR="00AD498D" w:rsidRPr="000B6755" w:rsidRDefault="00AD498D" w:rsidP="00762358">
      <w:pPr>
        <w:pStyle w:val="Prrafodelista"/>
        <w:numPr>
          <w:ilvl w:val="0"/>
          <w:numId w:val="17"/>
        </w:numPr>
        <w:spacing w:after="0" w:line="276" w:lineRule="auto"/>
        <w:ind w:left="3261" w:hanging="284"/>
        <w:jc w:val="both"/>
        <w:outlineLvl w:val="3"/>
        <w:rPr>
          <w:rFonts w:ascii="Arial" w:eastAsia="Calibri" w:hAnsi="Arial" w:cs="Arial"/>
          <w:b/>
          <w:lang w:val="es-ES"/>
        </w:rPr>
      </w:pPr>
      <w:bookmarkStart w:id="30" w:name="_Toc468707830"/>
      <w:r w:rsidRPr="000B6755">
        <w:rPr>
          <w:rFonts w:ascii="Arial" w:eastAsia="Calibri" w:hAnsi="Arial" w:cs="Arial"/>
          <w:b/>
          <w:lang w:val="es-ES"/>
        </w:rPr>
        <w:t>Medios de protección pasiva</w:t>
      </w:r>
      <w:bookmarkEnd w:id="30"/>
    </w:p>
    <w:p w14:paraId="00F31EE9" w14:textId="77777777" w:rsidR="00AD498D" w:rsidRPr="000B6755" w:rsidRDefault="00AD498D" w:rsidP="00762358">
      <w:pPr>
        <w:spacing w:after="0" w:line="276" w:lineRule="auto"/>
        <w:ind w:left="3261"/>
        <w:jc w:val="both"/>
        <w:rPr>
          <w:rFonts w:ascii="Arial" w:eastAsia="Calibri" w:hAnsi="Arial" w:cs="Arial"/>
          <w:lang w:val="es-ES"/>
        </w:rPr>
      </w:pPr>
      <w:r w:rsidRPr="000B6755">
        <w:rPr>
          <w:rFonts w:ascii="Arial" w:eastAsia="Calibri" w:hAnsi="Arial" w:cs="Arial"/>
          <w:lang w:val="es-ES"/>
        </w:rPr>
        <w:t xml:space="preserve">Se denomina así a aquellos elementos constitutivos de la edificación o del Establecimiento Objeto de </w:t>
      </w:r>
      <w:r w:rsidRPr="000B6755">
        <w:rPr>
          <w:rFonts w:ascii="Arial" w:eastAsia="Calibri" w:hAnsi="Arial" w:cs="Arial"/>
          <w:lang w:val="es-ES"/>
        </w:rPr>
        <w:lastRenderedPageBreak/>
        <w:t>Inspección que no actúan directamente sobre el fuego, pero que al estar presentes permiten la contención del fuego y con ello la protección de las personas y el patrimonio albergado.</w:t>
      </w:r>
    </w:p>
    <w:p w14:paraId="09F57DD4" w14:textId="77777777" w:rsidR="00AD498D" w:rsidRPr="000B6755" w:rsidRDefault="00AD498D" w:rsidP="00762358">
      <w:pPr>
        <w:spacing w:after="200" w:line="276" w:lineRule="auto"/>
        <w:ind w:left="3261"/>
        <w:jc w:val="both"/>
        <w:rPr>
          <w:rFonts w:ascii="Arial" w:eastAsia="Calibri" w:hAnsi="Arial" w:cs="Arial"/>
          <w:lang w:val="es-ES"/>
        </w:rPr>
      </w:pPr>
      <w:r w:rsidRPr="000B6755">
        <w:rPr>
          <w:rFonts w:ascii="Arial" w:eastAsia="Calibri" w:hAnsi="Arial" w:cs="Arial"/>
          <w:lang w:val="es-ES"/>
        </w:rPr>
        <w:t>Estos tienen que ver con la compartimentación de la edificación, la disponibilidad de espacios protegidos o rutas de evacuación, así como la disponibilidad de elementos de protección de la propia estructura que eviten su destrucción.</w:t>
      </w:r>
    </w:p>
    <w:p w14:paraId="29E8F5CD" w14:textId="42C6DA13" w:rsidR="00AD498D" w:rsidRPr="000B6755" w:rsidRDefault="00AD498D" w:rsidP="009D3463">
      <w:pPr>
        <w:pStyle w:val="Prrafodelista"/>
        <w:numPr>
          <w:ilvl w:val="0"/>
          <w:numId w:val="17"/>
        </w:numPr>
        <w:spacing w:after="0" w:line="276" w:lineRule="auto"/>
        <w:ind w:left="3261" w:hanging="284"/>
        <w:jc w:val="both"/>
        <w:outlineLvl w:val="3"/>
        <w:rPr>
          <w:rFonts w:ascii="Arial" w:eastAsia="Calibri" w:hAnsi="Arial" w:cs="Arial"/>
          <w:b/>
          <w:lang w:val="es-ES"/>
        </w:rPr>
      </w:pPr>
      <w:bookmarkStart w:id="31" w:name="_Toc468707831"/>
      <w:r w:rsidRPr="000B6755">
        <w:rPr>
          <w:rFonts w:ascii="Arial" w:eastAsia="Calibri" w:hAnsi="Arial" w:cs="Arial"/>
          <w:b/>
          <w:lang w:val="es-ES"/>
        </w:rPr>
        <w:t>Medios de protección activa</w:t>
      </w:r>
      <w:bookmarkEnd w:id="31"/>
    </w:p>
    <w:p w14:paraId="692A78E6" w14:textId="77777777" w:rsidR="00AD498D" w:rsidRPr="000B6755" w:rsidRDefault="00AD498D" w:rsidP="009D3463">
      <w:pPr>
        <w:spacing w:after="200" w:line="276" w:lineRule="auto"/>
        <w:ind w:left="3261"/>
        <w:jc w:val="both"/>
        <w:rPr>
          <w:rFonts w:ascii="Arial" w:eastAsia="Calibri" w:hAnsi="Arial" w:cs="Arial"/>
          <w:lang w:val="es-ES"/>
        </w:rPr>
      </w:pPr>
      <w:r w:rsidRPr="000B6755">
        <w:rPr>
          <w:rFonts w:ascii="Arial" w:eastAsia="Calibri" w:hAnsi="Arial" w:cs="Arial"/>
          <w:lang w:val="es-ES"/>
        </w:rPr>
        <w:t>Son los que implican una acción directa contra el fuego, es decir aquellos que permitirán a los equipos humanos hacer frente al incendio para poner a buen recaudo a las personas y proteger el patrimonio albergado.</w:t>
      </w:r>
    </w:p>
    <w:p w14:paraId="1D6CF353" w14:textId="77777777" w:rsidR="00AD498D" w:rsidRPr="000B6755" w:rsidRDefault="00AD498D" w:rsidP="009D3463">
      <w:pPr>
        <w:spacing w:after="200" w:line="276" w:lineRule="auto"/>
        <w:ind w:left="3261"/>
        <w:jc w:val="both"/>
        <w:rPr>
          <w:rFonts w:ascii="Arial" w:eastAsia="Calibri" w:hAnsi="Arial" w:cs="Arial"/>
          <w:lang w:val="es-ES"/>
        </w:rPr>
      </w:pPr>
      <w:r w:rsidRPr="000B6755">
        <w:rPr>
          <w:rFonts w:ascii="Arial" w:eastAsia="Calibri" w:hAnsi="Arial" w:cs="Arial"/>
          <w:lang w:val="es-ES"/>
        </w:rPr>
        <w:t>Se clasifican en medios de detección, alerta y extinción.</w:t>
      </w:r>
    </w:p>
    <w:p w14:paraId="77BF7843" w14:textId="4871C045"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b.1) </w:t>
      </w:r>
      <w:r w:rsidR="00AD498D" w:rsidRPr="000B6755">
        <w:rPr>
          <w:rFonts w:ascii="Arial" w:eastAsia="Calibri" w:hAnsi="Arial" w:cs="Arial"/>
          <w:b/>
          <w:lang w:val="es-ES"/>
        </w:rPr>
        <w:t>Medios de detección:</w:t>
      </w:r>
    </w:p>
    <w:p w14:paraId="07759CA0"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Tienen la finalidad de detectar el inicio de un fuego ya sea por la identificación de gases o vapores de combustión o por el registro del incremento de temperaturas inadecuadas para un determinado sector o situación.</w:t>
      </w:r>
    </w:p>
    <w:p w14:paraId="46066A62"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Existen múltiples tipos de detectores desde los más sencillos hasta los más sofisticados, correspondiendo su utilización o aprovisionamiento de acuerdo al tipo de actividades que establecen las normas especializadas en la materia.</w:t>
      </w:r>
    </w:p>
    <w:p w14:paraId="7F2C1DA5" w14:textId="1A21E069"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b.2) </w:t>
      </w:r>
      <w:r w:rsidR="00AD498D" w:rsidRPr="000B6755">
        <w:rPr>
          <w:rFonts w:ascii="Arial" w:eastAsia="Calibri" w:hAnsi="Arial" w:cs="Arial"/>
          <w:b/>
          <w:lang w:val="es-ES"/>
        </w:rPr>
        <w:t>Medios de alarma:</w:t>
      </w:r>
    </w:p>
    <w:p w14:paraId="5A7A404C" w14:textId="15CD9B4E"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 xml:space="preserve">Su utilidad radica en la posibilidad de comunicar inmediatamente el inicio de un incendio, tanto a los habitantes o usuarios de una edificación o </w:t>
      </w:r>
      <w:r w:rsidR="00E337ED" w:rsidRPr="000B6755">
        <w:rPr>
          <w:rFonts w:ascii="Arial" w:eastAsia="Calibri" w:hAnsi="Arial" w:cs="Arial"/>
          <w:lang w:val="es-ES"/>
        </w:rPr>
        <w:t>instalación,</w:t>
      </w:r>
      <w:r w:rsidRPr="000B6755">
        <w:rPr>
          <w:rFonts w:ascii="Arial" w:eastAsia="Calibri" w:hAnsi="Arial" w:cs="Arial"/>
          <w:lang w:val="es-ES"/>
        </w:rPr>
        <w:t xml:space="preserve"> así como a los equipos de respuesta y protección de modo que se puedan llevar a cabo la evacuación de las personas y las acciones de control y extinción del incendio.</w:t>
      </w:r>
    </w:p>
    <w:p w14:paraId="1F01791B"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Los medios más usuales son los audibles y/o visuales y deben tener el alcance necesario para asegurar la comunicación a todos los involucrados con el Establecimiento Objeto de Inspección.</w:t>
      </w:r>
    </w:p>
    <w:p w14:paraId="168FBDF4" w14:textId="20AAD2EB"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b.3) </w:t>
      </w:r>
      <w:r w:rsidR="00AD498D" w:rsidRPr="000B6755">
        <w:rPr>
          <w:rFonts w:ascii="Arial" w:eastAsia="Calibri" w:hAnsi="Arial" w:cs="Arial"/>
          <w:b/>
          <w:lang w:val="es-ES"/>
        </w:rPr>
        <w:t>Medios de extinción:</w:t>
      </w:r>
    </w:p>
    <w:p w14:paraId="2376F583"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lastRenderedPageBreak/>
        <w:t>Están referidos a aquellos agentes de extinción utilizados para controlar y posteriormente apagar un incendio, están fundamentados en la disminución o eliminación de los factores que provocan el incendio como la temperatura, el agente comburente que es el oxígeno.</w:t>
      </w:r>
    </w:p>
    <w:p w14:paraId="25B55B16"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 xml:space="preserve">Los agentes extintores más comunes son: Agua, Polvo Químico Seco (PQS u otros específicos), espumas, gas carbónico, entre otros. </w:t>
      </w:r>
    </w:p>
    <w:p w14:paraId="3974332F"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La disposición de los mismos es de acuerdo al tipo de operación y los peligros que entraña, pueden tratarse de medios portables como los extintores en botellas metálicas presurizadas, o medios fijos como las redes contra incendios y sus respectivos gabinetes contra incendios, las mismas pueden ser llenas o del tipo “montante seca”, así mismo los sistemas con rociadores (de agua u otros agentes) sean estos mecánicos o automatizados.</w:t>
      </w:r>
    </w:p>
    <w:p w14:paraId="56F12F84" w14:textId="10B3D648" w:rsidR="00AD498D" w:rsidRPr="000B6755" w:rsidRDefault="003E1A78" w:rsidP="00E54333">
      <w:pPr>
        <w:spacing w:after="200" w:line="276" w:lineRule="auto"/>
        <w:ind w:left="786" w:firstLine="915"/>
        <w:contextualSpacing/>
        <w:jc w:val="both"/>
        <w:outlineLvl w:val="1"/>
        <w:rPr>
          <w:rFonts w:ascii="Arial" w:eastAsia="Calibri" w:hAnsi="Arial" w:cs="Arial"/>
          <w:b/>
          <w:lang w:val="es-ES"/>
        </w:rPr>
      </w:pPr>
      <w:bookmarkStart w:id="32" w:name="_Toc468707833"/>
      <w:r w:rsidRPr="000B6755">
        <w:rPr>
          <w:rFonts w:ascii="Arial" w:eastAsia="Calibri" w:hAnsi="Arial" w:cs="Arial"/>
          <w:b/>
          <w:lang w:val="es-ES"/>
        </w:rPr>
        <w:t xml:space="preserve">I.4.2. </w:t>
      </w:r>
      <w:r w:rsidR="00AD498D" w:rsidRPr="000B6755">
        <w:rPr>
          <w:rFonts w:ascii="Arial" w:eastAsia="Calibri" w:hAnsi="Arial" w:cs="Arial"/>
          <w:b/>
          <w:lang w:val="es-ES"/>
        </w:rPr>
        <w:t>RIESGO DE COLAPSO</w:t>
      </w:r>
      <w:bookmarkEnd w:id="32"/>
    </w:p>
    <w:p w14:paraId="7DB8C74C" w14:textId="77B34382" w:rsidR="00AD498D" w:rsidRPr="000B6755" w:rsidRDefault="003E1A78" w:rsidP="00E54333">
      <w:pPr>
        <w:spacing w:after="200" w:line="276" w:lineRule="auto"/>
        <w:ind w:left="2977" w:hanging="709"/>
        <w:contextualSpacing/>
        <w:jc w:val="both"/>
        <w:outlineLvl w:val="2"/>
        <w:rPr>
          <w:rFonts w:ascii="Arial" w:eastAsia="Calibri" w:hAnsi="Arial" w:cs="Arial"/>
          <w:b/>
          <w:lang w:val="es-ES"/>
        </w:rPr>
      </w:pPr>
      <w:bookmarkStart w:id="33" w:name="_Toc468707834"/>
      <w:r w:rsidRPr="000B6755">
        <w:rPr>
          <w:rFonts w:ascii="Arial" w:eastAsia="Calibri" w:hAnsi="Arial" w:cs="Arial"/>
          <w:b/>
          <w:lang w:val="es-ES"/>
        </w:rPr>
        <w:t xml:space="preserve">I.4.2.1. </w:t>
      </w:r>
      <w:r w:rsidR="00AD498D" w:rsidRPr="000B6755">
        <w:rPr>
          <w:rFonts w:ascii="Arial" w:eastAsia="Calibri" w:hAnsi="Arial" w:cs="Arial"/>
          <w:b/>
          <w:lang w:val="es-ES"/>
        </w:rPr>
        <w:t>IDENTIFICACIÓN DE DAÑOS ESTRUCTURALES EN LA EDIFICACIÓN</w:t>
      </w:r>
      <w:bookmarkEnd w:id="33"/>
    </w:p>
    <w:p w14:paraId="34C2A17A"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La evaluación del riesgo de colapso estructural es una inferencia que debe basarse en evidencias, en lo posible visibles, de aspectos que sean fundamentales para el sostenimiento de la edificación.</w:t>
      </w:r>
    </w:p>
    <w:p w14:paraId="29B98A5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Para ello es importante considerar aspectos o criterios estructurales como continuidad y esbeltez de los elementos estructurales, simetría de la estructura y daños o defectos estructurales.</w:t>
      </w:r>
    </w:p>
    <w:p w14:paraId="4DFC9D8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Los daños estructurales pueden tener origen en diferentes causas, entre ellas los efectos de un movimiento sísmico, sobrecargas no previstas en el diseño del edificio, impactos accidentales de cuerpos o vehículos que tengan consecuencias significativas en la estructura, entre otros.</w:t>
      </w:r>
    </w:p>
    <w:p w14:paraId="6F33CB7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Por otra parte, están los daños estructurales por acciones deliberadas de modificación o alteración de las estructuras, como son la interrupción, mutilación o eliminación de elementos estructurales, la apertura de vanos que reducen significativamente la densidad de muros original, la adición de pisos o niveles sobre estructuras que originalmente no consideraron dichas ampliaciones, etc.</w:t>
      </w:r>
    </w:p>
    <w:p w14:paraId="31114708" w14:textId="49722789" w:rsidR="00AD498D" w:rsidRPr="000B6755" w:rsidRDefault="00E54333" w:rsidP="00E54333">
      <w:pPr>
        <w:spacing w:after="200" w:line="276" w:lineRule="auto"/>
        <w:ind w:left="2977" w:hanging="709"/>
        <w:contextualSpacing/>
        <w:jc w:val="both"/>
        <w:outlineLvl w:val="2"/>
        <w:rPr>
          <w:rFonts w:ascii="Arial" w:eastAsia="Calibri" w:hAnsi="Arial" w:cs="Arial"/>
          <w:b/>
          <w:lang w:val="es-ES"/>
        </w:rPr>
      </w:pPr>
      <w:bookmarkStart w:id="34" w:name="_Toc468707835"/>
      <w:r w:rsidRPr="000B6755">
        <w:rPr>
          <w:rFonts w:ascii="Arial" w:eastAsia="Calibri" w:hAnsi="Arial" w:cs="Arial"/>
          <w:b/>
          <w:lang w:val="es-ES"/>
        </w:rPr>
        <w:lastRenderedPageBreak/>
        <w:t xml:space="preserve">I.4.2.2. </w:t>
      </w:r>
      <w:r w:rsidR="00AD498D" w:rsidRPr="000B6755">
        <w:rPr>
          <w:rFonts w:ascii="Arial" w:eastAsia="Calibri" w:hAnsi="Arial" w:cs="Arial"/>
          <w:b/>
          <w:lang w:val="es-ES"/>
        </w:rPr>
        <w:t>IDENTIFICACIÓN DE LA TIPOLOGIA DE LA EDIFICACIÓN Y LOS MATERIALES PREDOMINANTES</w:t>
      </w:r>
      <w:bookmarkEnd w:id="34"/>
    </w:p>
    <w:p w14:paraId="7EDEDD96"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La tipología está referida a las características generales que marcan una edificación, los materiales que la conforman, así como la estructuración y configuración con la que se haya diseñado y construido.</w:t>
      </w:r>
    </w:p>
    <w:p w14:paraId="46E7C1F9"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Se debe identificar fundamentalmente el uso predominante que marcó el diseño de la edificación y las normas técnicas que sirvieron como referencia; cada uso específico presupone condiciones de diseño y factores que establece la norma.</w:t>
      </w:r>
    </w:p>
    <w:p w14:paraId="4409384F"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Al identificar los materiales predominantes se puede inferir sus propiedades de resistencia ante eventos destructivos que pudieran generar su colapso (sobrecargas o sismos no necesariamente muy severos), en general este aspecto es determinante en casos de antigüedad de la edificación o con deterioros evidentes que la hacen más vulnerable.</w:t>
      </w:r>
    </w:p>
    <w:p w14:paraId="30C21A26"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Del mismo modo, las adecuaciones y acondicionamientos que se hayan realizado para su utilización, como es el caso de instalaciones eléctricas, sanitarias u otras, implican la alteración de la edificación original y eventualmente de sus elementos estructurales.</w:t>
      </w:r>
    </w:p>
    <w:p w14:paraId="561EA14D" w14:textId="1638BDD3" w:rsidR="00E54333" w:rsidRPr="000B6755" w:rsidRDefault="001463FB" w:rsidP="00E54333">
      <w:pPr>
        <w:spacing w:after="0" w:line="276" w:lineRule="auto"/>
        <w:ind w:left="709" w:firstLine="284"/>
        <w:jc w:val="both"/>
        <w:rPr>
          <w:rFonts w:ascii="Arial" w:eastAsia="Calibri" w:hAnsi="Arial" w:cs="Arial"/>
          <w:b/>
          <w:lang w:val="es-ES"/>
        </w:rPr>
      </w:pPr>
      <w:r w:rsidRPr="000B6755">
        <w:rPr>
          <w:rFonts w:ascii="Arial" w:eastAsia="Calibri" w:hAnsi="Arial" w:cs="Arial"/>
          <w:b/>
          <w:lang w:val="es-ES"/>
        </w:rPr>
        <w:t>I</w:t>
      </w:r>
      <w:r w:rsidR="00E54333" w:rsidRPr="000B6755">
        <w:rPr>
          <w:rFonts w:ascii="Arial" w:eastAsia="Calibri" w:hAnsi="Arial" w:cs="Arial"/>
          <w:b/>
          <w:lang w:val="es-ES"/>
        </w:rPr>
        <w:t>I.- MARCO TEÓRICO Y CONCEPTUAL DE LAS ECSE</w:t>
      </w:r>
    </w:p>
    <w:p w14:paraId="25D45E8F" w14:textId="5A8F7BE7"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5" w:name="_Toc468707848"/>
      <w:r w:rsidRPr="000B6755">
        <w:rPr>
          <w:rFonts w:ascii="Arial" w:eastAsia="Calibri" w:hAnsi="Arial" w:cs="Arial"/>
          <w:b/>
          <w:lang w:val="es-ES"/>
        </w:rPr>
        <w:t xml:space="preserve">II.1. </w:t>
      </w:r>
      <w:r w:rsidR="00861C23" w:rsidRPr="000B6755">
        <w:rPr>
          <w:rFonts w:ascii="Arial" w:eastAsia="Calibri" w:hAnsi="Arial" w:cs="Arial"/>
          <w:b/>
          <w:lang w:val="es-ES"/>
        </w:rPr>
        <w:t>RIESGO DE ESTAMPIDAS O APLASTAMIENTOS POR</w:t>
      </w:r>
      <w:r w:rsidRPr="000B6755">
        <w:rPr>
          <w:rFonts w:ascii="Arial" w:eastAsia="Calibri" w:hAnsi="Arial" w:cs="Arial"/>
          <w:b/>
          <w:lang w:val="es-ES"/>
        </w:rPr>
        <w:t xml:space="preserve"> AGLOMERACIÓ</w:t>
      </w:r>
      <w:r w:rsidR="00861C23" w:rsidRPr="000B6755">
        <w:rPr>
          <w:rFonts w:ascii="Arial" w:eastAsia="Calibri" w:hAnsi="Arial" w:cs="Arial"/>
          <w:b/>
          <w:lang w:val="es-ES"/>
        </w:rPr>
        <w:t>N</w:t>
      </w:r>
      <w:bookmarkEnd w:id="35"/>
    </w:p>
    <w:p w14:paraId="5F3C6060"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Los eventos o espectáculos tienen como característica principal la concentración o agrupación de personas en el lugar donde se desarrolla, ya sea para tener una participación en los mismos o eventualmente como espectadores. Esta aglomeración generalmente implica ocupaciones del suelo o área disponible, que son excepcionales por su alta densidad y no se presentan en otro tipo de actividades.</w:t>
      </w:r>
    </w:p>
    <w:p w14:paraId="2A4A2735"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investigación sobre conductas en masa o multitudes revela que aglomeraciones con densidades superiores a 4 personas por metro cuadrado son extremadamente peligrosas y no pueden ser manejadas o controladas</w:t>
      </w:r>
      <w:r w:rsidRPr="000B6755">
        <w:rPr>
          <w:rFonts w:ascii="Arial" w:eastAsia="Calibri" w:hAnsi="Arial" w:cs="Arial"/>
          <w:vertAlign w:val="superscript"/>
          <w:lang w:val="es-ES"/>
        </w:rPr>
        <w:footnoteReference w:id="1"/>
      </w:r>
      <w:r w:rsidRPr="000B6755">
        <w:rPr>
          <w:rFonts w:ascii="Arial" w:eastAsia="Calibri" w:hAnsi="Arial" w:cs="Arial"/>
          <w:lang w:val="es-ES"/>
        </w:rPr>
        <w:t>; en movimiento pueden mantener flujos inerciales siempre y cuando las velocidades en el frente y posterior sean similares y no se presenten angostamientos o distorsiones en la ruta del desplazamiento.</w:t>
      </w:r>
    </w:p>
    <w:p w14:paraId="79CED80B"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lastRenderedPageBreak/>
        <w:t>La condición teórica descrita referida al desplazamiento, dista mucho de la realidad en concentraciones como el caso de espectáculos o eventos, por lo que la práctica internacional considera aceptables densidades del orden de 2 personas por metro cuadrado.</w:t>
      </w:r>
    </w:p>
    <w:p w14:paraId="0F431C41"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Sin embargo, la condición más crítica que se asume es la ocurrencia de alguna alteración de la normalidad que acarree confusión y caos en el grupo humano aglomerado, ante lo cual puede producirse una evacuación forzada o estampida.</w:t>
      </w:r>
    </w:p>
    <w:p w14:paraId="1C9F9FA4"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ocurrencia de estampidas o el desplazamiento de gran cantidad de personas ante un hecho u ocurrencia inesperada, es una situación que puede ocasionar víctimas o daños por aplastamiento; este tipo de circunstancias son generalmente subsecuentes a la ocurrencia de siniestros focalizados, que pueden escalar generando caos y descontrol, propios de un contexto de aglomeración.</w:t>
      </w:r>
    </w:p>
    <w:p w14:paraId="32BC08A2"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Con estas consideraciones, el diseño de las instalaciones temporales, su compartimentación y la disponibilidad de rutas de evacuación debe ser favorable para la evacuación de las personas; del mismo modo, la implementación de planes, protocolos o mecanismos de organización deben permitir el control y manejo adecuado del grupo humano albergado en el recinto o instalación.</w:t>
      </w:r>
    </w:p>
    <w:p w14:paraId="72A3EF36"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riesgo de estampidas se da en instalaciones a cielo abierto pero también es posible en recintos techados o edificaciones, en este caso aun cuando el número de personas puede ser significativamente menor, la posibilidad de elementos o factores adicionales como gases, humos u otros perturbadores puede agravar la situación y tornarla crítica.</w:t>
      </w:r>
    </w:p>
    <w:p w14:paraId="161CEBF2" w14:textId="793D95B7"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6" w:name="_Toc468707849"/>
      <w:r w:rsidRPr="000B6755">
        <w:rPr>
          <w:rFonts w:ascii="Arial" w:eastAsia="Calibri" w:hAnsi="Arial" w:cs="Arial"/>
          <w:b/>
          <w:lang w:val="es-ES"/>
        </w:rPr>
        <w:t xml:space="preserve">II.2.    </w:t>
      </w:r>
      <w:r w:rsidR="00861C23" w:rsidRPr="000B6755">
        <w:rPr>
          <w:rFonts w:ascii="Arial" w:eastAsia="Calibri" w:hAnsi="Arial" w:cs="Arial"/>
          <w:b/>
          <w:lang w:val="es-ES"/>
        </w:rPr>
        <w:t>RIESGO DE INCENDIO</w:t>
      </w:r>
      <w:bookmarkEnd w:id="36"/>
    </w:p>
    <w:p w14:paraId="6E946A05"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Los eventos o espectáculos públicos son de naturaleza muy variada, el atractivo que estos despiertan tiene relación con actividades o hechos singulares o no habituales, muchos de los cuales utilizan materiales peligrosos o incluso fuego abierto; también es posible la acumulación, montaje o adecuación de las instalaciones temporales con materiales combustibles o susceptibles de ser consumidos por el fuego.</w:t>
      </w:r>
    </w:p>
    <w:p w14:paraId="4EB42A1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Por otra parte, es importante el equipamiento mecánico o eléctrico del que se dispone para la realización del evento o espectáculo, elementos que se constituyen en fuentes de calor y como tal podrían en circunstancias determinadas iniciar amagos o incendios, si es que no se toman las medidas de control que correspondan a la naturaleza de los mismos.</w:t>
      </w:r>
    </w:p>
    <w:p w14:paraId="70C094B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lastRenderedPageBreak/>
        <w:t>La ocurrencia de amagos, incendios o similares, pueden ocasionar quemaduras, asfixias o daños por inhalación o contacto con gases producto de combustión, situación que puede darse en eventos o actividades que suponen la utilización de fuego ya sea como parte de la actividad principal o complementaria.</w:t>
      </w:r>
    </w:p>
    <w:p w14:paraId="271720A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riesgo de incendio resulta relevante por el nivel de pérdidas que puede acarrear directamente, tanto en las personas como en el patrimonio instalado; sin embargo su importancia trasciende a la ocurrencia del siniestro por fuego en sí mismo.</w:t>
      </w:r>
    </w:p>
    <w:p w14:paraId="3D4D7D04"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la mayoría de los casos, los incendios o simples amagos resultan ser el elemento detonante para el desplazamiento de las personas en busca de protección del fuego y gases de combustión; es así que ocurren estampidas o aplastamientos de personas como consecuencia, incluso más grave que el propio incendio o amago.</w:t>
      </w:r>
    </w:p>
    <w:p w14:paraId="60C1D912"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Es importante mencionar que en el caso de eventos o espectáculos que se realicen al interior de un recinto, cuando estos precisan del acondicionamiento o incorporación de elementos que configuren peligro de incendio, las condiciones de diseño pueden ser rebasadas, requiriéndose medidas de control adicionales.</w:t>
      </w:r>
    </w:p>
    <w:p w14:paraId="07B1607C" w14:textId="4AA58CA2"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7" w:name="_Toc468707850"/>
      <w:r w:rsidRPr="000B6755">
        <w:rPr>
          <w:rFonts w:ascii="Arial" w:eastAsia="Calibri" w:hAnsi="Arial" w:cs="Arial"/>
          <w:b/>
          <w:lang w:val="es-ES"/>
        </w:rPr>
        <w:t xml:space="preserve">II.3.    </w:t>
      </w:r>
      <w:r w:rsidR="00861C23" w:rsidRPr="000B6755">
        <w:rPr>
          <w:rFonts w:ascii="Arial" w:eastAsia="Calibri" w:hAnsi="Arial" w:cs="Arial"/>
          <w:b/>
          <w:lang w:val="es-ES"/>
        </w:rPr>
        <w:t>RIESGO DE COLAPSO ESTRUCTURAL</w:t>
      </w:r>
      <w:bookmarkEnd w:id="37"/>
    </w:p>
    <w:p w14:paraId="3ACF1976"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muchos casos los eventos o espectáculos precisan del montaje o instalación de estructuras especiales tales como escenarios, tribunas, plataformas, pasarelas, pérgolas, torres, estructuras de publicidad, paneles, cabinas, entre otros; las mismas que aun cuando su utilización sea temporal, deben brindar la garantía de no desplomarse y con ello ocasionar daños a las personas que participen o asistan a los eventos mencionados.</w:t>
      </w:r>
    </w:p>
    <w:p w14:paraId="3610A859"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Aun cuando no exista en la regulación nacional normativa expresa para este tipo de instalaciones, tanto el diseño estructural, como la calidad de los materiales o elementos de montaje y su posterior instalación pueden ser abordados con el conocimiento técnico que la ingeniería puede aportar.</w:t>
      </w:r>
    </w:p>
    <w:p w14:paraId="38172810"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naturaleza de los eventos o espectáculos presupone condiciones de vibración y densidad superior a las cargas habituales de diseño convencional, por lo que todos los elementos y sus respectivas uniones o empalmes que componen la instalación deben ser calculados bajo tales consideraciones iniciales.</w:t>
      </w:r>
    </w:p>
    <w:p w14:paraId="6B68BD75" w14:textId="7DE170F9"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Del mismo modo es preciso recalcar que aun cuando las estructuras puedan soportar daños visibles o incluso fallar </w:t>
      </w:r>
      <w:r w:rsidRPr="000B6755">
        <w:rPr>
          <w:rFonts w:ascii="Arial" w:eastAsia="Calibri" w:hAnsi="Arial" w:cs="Arial"/>
          <w:lang w:val="es-ES"/>
        </w:rPr>
        <w:lastRenderedPageBreak/>
        <w:t>gradualmente de forma no explosiva, sin ocasionar daños directos, es posible que tal situación pueda desencadenar situaciones de pánico e inseguridad en la</w:t>
      </w:r>
      <w:r w:rsidR="00902BCA">
        <w:rPr>
          <w:rFonts w:ascii="Arial" w:eastAsia="Calibri" w:hAnsi="Arial" w:cs="Arial"/>
          <w:lang w:val="es-ES"/>
        </w:rPr>
        <w:t>s</w:t>
      </w:r>
      <w:r w:rsidRPr="000B6755">
        <w:rPr>
          <w:rFonts w:ascii="Arial" w:eastAsia="Calibri" w:hAnsi="Arial" w:cs="Arial"/>
          <w:lang w:val="es-ES"/>
        </w:rPr>
        <w:t xml:space="preserve"> personas que asisten a los eventos o espectáculos, desencadenando estampidas y situaciones de caos con las consecuencias correspondientes. En </w:t>
      </w:r>
      <w:r w:rsidR="00E337ED" w:rsidRPr="000B6755">
        <w:rPr>
          <w:rFonts w:ascii="Arial" w:eastAsia="Calibri" w:hAnsi="Arial" w:cs="Arial"/>
          <w:lang w:val="es-ES"/>
        </w:rPr>
        <w:t>consecuencia,</w:t>
      </w:r>
      <w:r w:rsidRPr="000B6755">
        <w:rPr>
          <w:rFonts w:ascii="Arial" w:eastAsia="Calibri" w:hAnsi="Arial" w:cs="Arial"/>
          <w:lang w:val="es-ES"/>
        </w:rPr>
        <w:t xml:space="preserve"> los factores de seguridad en el diseño deberían ser suficientemente holgados para evitar estas situaciones críticas.</w:t>
      </w:r>
    </w:p>
    <w:p w14:paraId="2C3934EE" w14:textId="5D70BF12" w:rsidR="00861C23" w:rsidRPr="000B6755" w:rsidRDefault="001463FB" w:rsidP="001463FB">
      <w:pPr>
        <w:spacing w:after="200" w:line="276" w:lineRule="auto"/>
        <w:ind w:firstLine="1560"/>
        <w:contextualSpacing/>
        <w:jc w:val="both"/>
        <w:outlineLvl w:val="2"/>
        <w:rPr>
          <w:rFonts w:ascii="Arial" w:eastAsia="Calibri" w:hAnsi="Arial" w:cs="Arial"/>
          <w:b/>
          <w:lang w:val="es-ES"/>
        </w:rPr>
      </w:pPr>
      <w:bookmarkStart w:id="38" w:name="_Toc468707851"/>
      <w:r w:rsidRPr="000B6755">
        <w:rPr>
          <w:rFonts w:ascii="Arial" w:eastAsia="Calibri" w:hAnsi="Arial" w:cs="Arial"/>
          <w:b/>
          <w:lang w:val="es-ES"/>
        </w:rPr>
        <w:t xml:space="preserve">II.4. </w:t>
      </w:r>
      <w:r w:rsidR="00861C23" w:rsidRPr="000B6755">
        <w:rPr>
          <w:rFonts w:ascii="Arial" w:eastAsia="Calibri" w:hAnsi="Arial" w:cs="Arial"/>
          <w:b/>
          <w:lang w:val="es-ES"/>
        </w:rPr>
        <w:t>RIESGO DE ELECTROCUCIÓN</w:t>
      </w:r>
      <w:bookmarkEnd w:id="38"/>
    </w:p>
    <w:p w14:paraId="29B058D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equipamiento eléctrico o electromecánico constituye parte de las instalaciones que se utilizarán en eventos o espectáculos y en casos resulta imprescindible para las instalaciones el solo hecho de iluminarlos o de dotarlos de puntos de energía ya implica la existencia de circuitos y sistemas electrizados, los mismos que deben contar con sus elementos de protección.</w:t>
      </w:r>
    </w:p>
    <w:p w14:paraId="6D4DFE48"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existencia de elementos de materiales conductores de la electricidad como es el caso de los metales o el simple hecho de existir zonas o superficies humedecidas, las convierte en potenciales peligros para la electrocución de las personas por contacto; es por ello que todas las instalaciones eléctricas deben tener conducción y puesta a tierra como un mecanismo intrínseco de protección, son también necesarios según sea el caso accesorios y equipos de protección como interruptores de corte, del tipo termomagnético y diferenciales entre otros.</w:t>
      </w:r>
    </w:p>
    <w:p w14:paraId="642114DA" w14:textId="164ACF15" w:rsidR="00861C23" w:rsidRPr="000B6755" w:rsidRDefault="001463FB" w:rsidP="001463FB">
      <w:pPr>
        <w:spacing w:after="200" w:line="276" w:lineRule="auto"/>
        <w:ind w:left="1985" w:hanging="425"/>
        <w:contextualSpacing/>
        <w:jc w:val="both"/>
        <w:outlineLvl w:val="2"/>
        <w:rPr>
          <w:rFonts w:ascii="Arial" w:eastAsia="Calibri" w:hAnsi="Arial" w:cs="Arial"/>
          <w:b/>
          <w:lang w:val="es-ES"/>
        </w:rPr>
      </w:pPr>
      <w:bookmarkStart w:id="39" w:name="_Toc468707852"/>
      <w:r w:rsidRPr="000B6755">
        <w:rPr>
          <w:rFonts w:ascii="Arial" w:eastAsia="Calibri" w:hAnsi="Arial" w:cs="Arial"/>
          <w:b/>
          <w:lang w:val="es-ES"/>
        </w:rPr>
        <w:t xml:space="preserve">II.5. </w:t>
      </w:r>
      <w:r w:rsidR="00861C23" w:rsidRPr="000B6755">
        <w:rPr>
          <w:rFonts w:ascii="Arial" w:eastAsia="Calibri" w:hAnsi="Arial" w:cs="Arial"/>
          <w:b/>
          <w:lang w:val="es-ES"/>
        </w:rPr>
        <w:t>RIESGO DE FALLA O MAL FUNCIONAMIENTO DE EQUIPOS MECÁNICOS O ELECTROMECÁNICOS</w:t>
      </w:r>
      <w:bookmarkEnd w:id="39"/>
    </w:p>
    <w:p w14:paraId="6429E368"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ocasiones las instalaciones temporales para eventos o espectáculos públicos requieren la instalación de equipos mecánicos o electromecánicos, los mismos que por su propia constitución pueden tener fallas o deficiencias en su operación y con ello ser un peligro potencial para la vida e integridad de los usuarios.</w:t>
      </w:r>
    </w:p>
    <w:p w14:paraId="3606026B"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Siendo de naturaleza y formas diversas, cada caso debiera permitir la trazabilidad de su fábrica, garantías, mantenimientos y condiciones de operación, de modo que su puesta en funcionamiento otorgue garantías sus usuarios. </w:t>
      </w:r>
    </w:p>
    <w:p w14:paraId="104DD084" w14:textId="254DD701" w:rsidR="00546972" w:rsidRPr="000B6755" w:rsidRDefault="00122AD3" w:rsidP="00122AD3">
      <w:pPr>
        <w:spacing w:after="200" w:line="276" w:lineRule="auto"/>
        <w:ind w:left="1985" w:hanging="425"/>
        <w:contextualSpacing/>
        <w:jc w:val="both"/>
        <w:outlineLvl w:val="2"/>
        <w:rPr>
          <w:rFonts w:ascii="Arial" w:eastAsia="Calibri" w:hAnsi="Arial" w:cs="Arial"/>
          <w:b/>
          <w:lang w:val="es-ES"/>
        </w:rPr>
      </w:pPr>
      <w:bookmarkStart w:id="40" w:name="_Toc468707862"/>
      <w:r w:rsidRPr="000B6755">
        <w:rPr>
          <w:rFonts w:ascii="Arial" w:eastAsia="Calibri" w:hAnsi="Arial" w:cs="Arial"/>
          <w:b/>
          <w:lang w:val="es-ES"/>
        </w:rPr>
        <w:t xml:space="preserve">II.6. </w:t>
      </w:r>
      <w:r w:rsidR="00546972" w:rsidRPr="000B6755">
        <w:rPr>
          <w:rFonts w:ascii="Arial" w:eastAsia="Calibri" w:hAnsi="Arial" w:cs="Arial"/>
          <w:b/>
          <w:lang w:val="es-ES"/>
        </w:rPr>
        <w:t>ASPECTOS A VERIFICAR EN LA ECSE</w:t>
      </w:r>
      <w:bookmarkEnd w:id="40"/>
    </w:p>
    <w:p w14:paraId="14451F5D" w14:textId="77777777" w:rsidR="00546972" w:rsidRPr="000B6755" w:rsidRDefault="00546972" w:rsidP="00122AD3">
      <w:pPr>
        <w:spacing w:after="200" w:line="276" w:lineRule="auto"/>
        <w:ind w:left="1985"/>
        <w:jc w:val="both"/>
        <w:rPr>
          <w:rFonts w:ascii="Arial" w:eastAsia="Calibri" w:hAnsi="Arial" w:cs="Arial"/>
          <w:lang w:val="es-ES"/>
        </w:rPr>
      </w:pPr>
      <w:bookmarkStart w:id="41" w:name="_Hlk504055551"/>
      <w:r w:rsidRPr="000B6755">
        <w:rPr>
          <w:rFonts w:ascii="Arial" w:eastAsia="Calibri" w:hAnsi="Arial" w:cs="Arial"/>
          <w:lang w:val="es-ES"/>
        </w:rPr>
        <w:t>La evaluación se realiza fundamentalmente enfocada en los riesgos relevantes a los que se encuentran expuestos los eventos o espectáculos públicos.</w:t>
      </w:r>
    </w:p>
    <w:p w14:paraId="3AD0EA3C" w14:textId="0F06F428" w:rsidR="00546972" w:rsidRPr="000B6755" w:rsidRDefault="00122AD3" w:rsidP="00122AD3">
      <w:pPr>
        <w:spacing w:after="200" w:line="276" w:lineRule="auto"/>
        <w:ind w:left="2694" w:hanging="709"/>
        <w:contextualSpacing/>
        <w:jc w:val="both"/>
        <w:outlineLvl w:val="2"/>
        <w:rPr>
          <w:rFonts w:ascii="Arial" w:eastAsia="Calibri" w:hAnsi="Arial" w:cs="Arial"/>
          <w:b/>
          <w:lang w:val="es-ES"/>
        </w:rPr>
      </w:pPr>
      <w:bookmarkStart w:id="42" w:name="_Toc468707863"/>
      <w:bookmarkStart w:id="43" w:name="_Hlk504055467"/>
      <w:bookmarkEnd w:id="41"/>
      <w:r w:rsidRPr="000B6755">
        <w:rPr>
          <w:rFonts w:ascii="Arial" w:eastAsia="Calibri" w:hAnsi="Arial" w:cs="Arial"/>
          <w:b/>
          <w:lang w:val="es-ES"/>
        </w:rPr>
        <w:t xml:space="preserve">II.6.1. </w:t>
      </w:r>
      <w:r w:rsidR="00546972" w:rsidRPr="000B6755">
        <w:rPr>
          <w:rFonts w:ascii="Arial" w:eastAsia="Calibri" w:hAnsi="Arial" w:cs="Arial"/>
          <w:b/>
          <w:lang w:val="es-ES"/>
        </w:rPr>
        <w:t>RIESGO DE ESTAMPIDAS O APLASTAMIENTOS POR AGLOMERACION</w:t>
      </w:r>
      <w:bookmarkEnd w:id="42"/>
    </w:p>
    <w:bookmarkEnd w:id="43"/>
    <w:p w14:paraId="7BB6C327" w14:textId="77777777" w:rsidR="00546972" w:rsidRPr="000B6755" w:rsidRDefault="00546972" w:rsidP="00546972">
      <w:pPr>
        <w:spacing w:after="200" w:line="276" w:lineRule="auto"/>
        <w:ind w:left="720"/>
        <w:contextualSpacing/>
        <w:jc w:val="both"/>
        <w:rPr>
          <w:rFonts w:ascii="Arial" w:eastAsia="Calibri" w:hAnsi="Arial" w:cs="Arial"/>
          <w:b/>
          <w:lang w:val="es-ES"/>
        </w:rPr>
      </w:pPr>
    </w:p>
    <w:p w14:paraId="2D69BAB0"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CAPACIDAD MAXIMA DE OCUPACION</w:t>
      </w:r>
    </w:p>
    <w:p w14:paraId="4C2BADA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lastRenderedPageBreak/>
        <w:t>Debe determinarse la ocupación máxima permisible de acuerdo al planteamiento arquitectónico de la instalación o acondicionamiento.</w:t>
      </w:r>
    </w:p>
    <w:p w14:paraId="42B1D6F4"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Son criterios válidos el mobiliario por instalar siempre que sea fijo y la máxima densidad aceptable en los espacios previstos para la concentración de personas, los cuales se obtienen descontando los espacios destinados a los medios de circulación y evacuación.</w:t>
      </w:r>
    </w:p>
    <w:p w14:paraId="3B902F13"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SUFICIENCIA DE MEDIOS DE EVACUACION</w:t>
      </w:r>
    </w:p>
    <w:p w14:paraId="256ABCFA"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Los medios de evacuación son los aspectos más importantes a efectos de reducir el riesgo de daños por estampidas o aplastamientos.</w:t>
      </w:r>
    </w:p>
    <w:p w14:paraId="0AE08AD4"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suficiencia de los medios de evacuación está en función de los anchos disponibles para el traslado de las personas a una velocidad horizontal de 1 m/seg, y en el caso de desplazamientos verticales o de escaleras a razón de 1 peldaño por segundo.</w:t>
      </w:r>
    </w:p>
    <w:p w14:paraId="633AAFD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Del mismo modo es importante el número de rutas o alternativas de evacuación siendo recomendable evitar que estas se concentren en un mismo sentido o frente de evacuación, en tanto ello genera espacios o sectores críticos con dificultades o desventajas en una eventual situación de emergencia.</w:t>
      </w:r>
    </w:p>
    <w:p w14:paraId="5D78E096"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DISTRIBUCIÓN Y DENSIDAD DE LA OCUPACIÓN</w:t>
      </w:r>
    </w:p>
    <w:p w14:paraId="014CC2A6"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disposición o distribución en sectores debe favorecer la circulación al interior de las instalaciones, de modo que en la eventualidad de emergencias puedan ingresar equipos de auxilio o atención y desplazarse con facilidad.</w:t>
      </w:r>
    </w:p>
    <w:p w14:paraId="78D3F9D9"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Los criterios de distribución y densidad son válidos en los casos en que se tenga mobiliario fijo o cuando este no exista.</w:t>
      </w:r>
    </w:p>
    <w:p w14:paraId="7724E5BA"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SEÑALIZACION Y ZONAS SEGURAS INTERNAS Y EXTERNAS</w:t>
      </w:r>
    </w:p>
    <w:p w14:paraId="5D8E0B87"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señalización es imprescindible a efectos de brindar condiciones de seguridad, tanto las señales de información, advertencia o precaución, prohibición, incluso las señales de obligatoriedad asociadas a las actividades del personal que labora o forma parte de la organización de los eventos o espectáculos.</w:t>
      </w:r>
    </w:p>
    <w:p w14:paraId="2D5D16BB"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 xml:space="preserve">Las zonas seguras tienen directa relación con los procedimientos de evacuación a efectos de tener </w:t>
      </w:r>
      <w:r w:rsidRPr="000B6755">
        <w:rPr>
          <w:rFonts w:ascii="Arial" w:eastAsia="Calibri" w:hAnsi="Arial" w:cs="Arial"/>
          <w:lang w:val="es-ES"/>
        </w:rPr>
        <w:lastRenderedPageBreak/>
        <w:t>efectivamente acotado el mismo, en tiempos y distancias.</w:t>
      </w:r>
    </w:p>
    <w:p w14:paraId="673DD1DB"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Es importante identificar la disponibilidad de zonas seguras internas, pensadas en casos en los que la evacuación inmediata no es posible o recomendable, ya sea por la naturaleza del peligro (p.e. sismo) o por las distancias de evacuación total.</w:t>
      </w:r>
    </w:p>
    <w:p w14:paraId="49A8BB2A"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En el caso de zonas externas se debe identificar la disponibilidad de espacios suficientes para albergar a las personas según el plan de seguridad, en estos casos estas zonas deben servir para la organización de la evacuación o protección temporal de las personas evacuadas.</w:t>
      </w:r>
    </w:p>
    <w:p w14:paraId="692116B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 ser necesario estas zonas externas deben contar con elementos de ayuda como primeros auxilios y comunicaciones.</w:t>
      </w:r>
    </w:p>
    <w:p w14:paraId="3571703A"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PLANES Y PROTOCOLOS DE EVACUACION</w:t>
      </w:r>
    </w:p>
    <w:p w14:paraId="5BEB43AD"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Dependiendo de la fenomenología local, se debe verificar la disponibilidad de planes y protocolos específicos, en la eventualidad que estos se manifiesten durante el desarrollo del evento o espectáculo.</w:t>
      </w:r>
    </w:p>
    <w:p w14:paraId="6B901F2F"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Identificación de las contingencias probables, asociadas al tipo de actividad o procedimientos que se ejecuten como parte del evento o espectáculo público, en todos estos casos se debe contar con planes o protocolos específicos.</w:t>
      </w:r>
    </w:p>
    <w:p w14:paraId="13093807"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SISTEMAS DE ALERTA Y COMUNICACIÓN DE EMERGENCIAS</w:t>
      </w:r>
    </w:p>
    <w:p w14:paraId="63B711DF"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Equipamiento o disponibilidad de medios para conocer con antelación la ocurrencia de fenómenos o eventos que puedan ser predecibles y afectar el evento o espectáculo público.</w:t>
      </w:r>
    </w:p>
    <w:p w14:paraId="01359419"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Equipos para la comunicación efectiva en situaciones de emergencia, que permitan su manejo adecuado y eficiente.</w:t>
      </w:r>
    </w:p>
    <w:p w14:paraId="7F7F2EC3" w14:textId="03909A45" w:rsidR="00546972"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Equipos de comunicación y medios para el requerimiento de ayuda especializada de ser requerida.</w:t>
      </w:r>
    </w:p>
    <w:p w14:paraId="38D58F91" w14:textId="6C74178F" w:rsidR="00E60A19" w:rsidRPr="00E60A19" w:rsidRDefault="00E60A19" w:rsidP="00E60A19">
      <w:pPr>
        <w:spacing w:after="200" w:line="276" w:lineRule="auto"/>
        <w:ind w:left="2694" w:hanging="709"/>
        <w:contextualSpacing/>
        <w:jc w:val="both"/>
        <w:outlineLvl w:val="2"/>
        <w:rPr>
          <w:rFonts w:ascii="Arial" w:eastAsia="Calibri" w:hAnsi="Arial" w:cs="Arial"/>
          <w:b/>
          <w:lang w:val="es-ES"/>
        </w:rPr>
      </w:pPr>
      <w:r w:rsidRPr="00E60A19">
        <w:rPr>
          <w:rFonts w:ascii="Arial" w:eastAsia="Calibri" w:hAnsi="Arial" w:cs="Arial"/>
          <w:b/>
          <w:lang w:val="es-ES"/>
        </w:rPr>
        <w:t>II.6.</w:t>
      </w:r>
      <w:r>
        <w:rPr>
          <w:rFonts w:ascii="Arial" w:eastAsia="Calibri" w:hAnsi="Arial" w:cs="Arial"/>
          <w:b/>
          <w:lang w:val="es-ES"/>
        </w:rPr>
        <w:t>2</w:t>
      </w:r>
      <w:r w:rsidRPr="00E60A19">
        <w:rPr>
          <w:rFonts w:ascii="Arial" w:eastAsia="Calibri" w:hAnsi="Arial" w:cs="Arial"/>
          <w:b/>
          <w:lang w:val="es-ES"/>
        </w:rPr>
        <w:t xml:space="preserve">. </w:t>
      </w:r>
      <w:r>
        <w:rPr>
          <w:rFonts w:ascii="Arial" w:eastAsia="Calibri" w:hAnsi="Arial" w:cs="Arial"/>
          <w:b/>
          <w:lang w:val="es-ES"/>
        </w:rPr>
        <w:t>OTROS RIESGOS RELEVANTES RELACIONADOS A LA ECSE</w:t>
      </w:r>
    </w:p>
    <w:p w14:paraId="3BB7D1C8" w14:textId="552BC92C" w:rsidR="00E60A19" w:rsidRPr="000B6755" w:rsidRDefault="005F7298" w:rsidP="005F7298">
      <w:pPr>
        <w:spacing w:after="200" w:line="276" w:lineRule="auto"/>
        <w:ind w:left="2694"/>
        <w:jc w:val="both"/>
        <w:rPr>
          <w:rFonts w:ascii="Arial" w:eastAsia="Calibri" w:hAnsi="Arial" w:cs="Arial"/>
          <w:lang w:val="es-ES"/>
        </w:rPr>
      </w:pPr>
      <w:r>
        <w:rPr>
          <w:rFonts w:ascii="Arial" w:eastAsia="Calibri" w:hAnsi="Arial" w:cs="Arial"/>
          <w:lang w:val="es-ES"/>
        </w:rPr>
        <w:t xml:space="preserve">Otros riesgos relevantes considerados en la ECSE son el de colapso de las estructuras temporales del estrado, torres, tribunas y otros, debido a una inadecuada </w:t>
      </w:r>
      <w:r>
        <w:rPr>
          <w:rFonts w:ascii="Arial" w:eastAsia="Calibri" w:hAnsi="Arial" w:cs="Arial"/>
          <w:lang w:val="es-ES"/>
        </w:rPr>
        <w:lastRenderedPageBreak/>
        <w:t>instalación; la electrocución de las personas por inadecuadas instalaciones eléctricas, entre otros que figuran en los formatos de actas e informes de la ECSE.</w:t>
      </w:r>
    </w:p>
    <w:p w14:paraId="4D31EB12" w14:textId="2D16D68A" w:rsidR="00546972" w:rsidRPr="000B6755" w:rsidRDefault="00122AD3" w:rsidP="00122AD3">
      <w:pPr>
        <w:spacing w:after="0" w:line="276" w:lineRule="auto"/>
        <w:ind w:left="1418" w:hanging="425"/>
        <w:jc w:val="both"/>
        <w:rPr>
          <w:rFonts w:ascii="Arial" w:eastAsia="Calibri" w:hAnsi="Arial" w:cs="Arial"/>
          <w:b/>
          <w:lang w:val="es-ES"/>
        </w:rPr>
      </w:pPr>
      <w:bookmarkStart w:id="44" w:name="_Toc468707864"/>
      <w:r w:rsidRPr="000B6755">
        <w:rPr>
          <w:rFonts w:ascii="Arial" w:eastAsia="Calibri" w:hAnsi="Arial" w:cs="Arial"/>
          <w:b/>
          <w:lang w:val="es-ES"/>
        </w:rPr>
        <w:t xml:space="preserve">III.- </w:t>
      </w:r>
      <w:r w:rsidR="00546972" w:rsidRPr="000B6755">
        <w:rPr>
          <w:rFonts w:ascii="Arial" w:eastAsia="Calibri" w:hAnsi="Arial" w:cs="Arial"/>
          <w:b/>
          <w:lang w:val="es-ES"/>
        </w:rPr>
        <w:t>REFERENCIAS TÉCNICAS PARA LA EVALUACIÓN DE LAS CONDICIONES DE SEGURIDAD EN ESPECTÁCULOS</w:t>
      </w:r>
      <w:bookmarkEnd w:id="44"/>
    </w:p>
    <w:p w14:paraId="4497E628" w14:textId="1B201AE4" w:rsidR="00122AD3" w:rsidRDefault="00DA3E07" w:rsidP="00546972">
      <w:pPr>
        <w:spacing w:after="200" w:line="276" w:lineRule="auto"/>
        <w:ind w:left="1418"/>
        <w:jc w:val="both"/>
        <w:rPr>
          <w:rFonts w:ascii="Arial" w:eastAsia="Calibri" w:hAnsi="Arial" w:cs="Arial"/>
        </w:rPr>
      </w:pPr>
      <w:r>
        <w:rPr>
          <w:rFonts w:ascii="Arial" w:eastAsia="Calibri" w:hAnsi="Arial" w:cs="Arial"/>
        </w:rPr>
        <w:t xml:space="preserve">En las Actas y formatos utilizados para la ejecución de la ECSE </w:t>
      </w:r>
      <w:r w:rsidR="00546972" w:rsidRPr="000B6755">
        <w:rPr>
          <w:rFonts w:ascii="Arial" w:eastAsia="Calibri" w:hAnsi="Arial" w:cs="Arial"/>
        </w:rPr>
        <w:t>se indican las referencias técnicas establecidas en el Reglamento Nacional de Edificaciones, Código Nacional de Electricidad, Normas Técnicas Peruanas, Normas Sectoriales y otras r</w:t>
      </w:r>
      <w:r w:rsidR="00122AD3" w:rsidRPr="000B6755">
        <w:rPr>
          <w:rFonts w:ascii="Arial" w:eastAsia="Calibri" w:hAnsi="Arial" w:cs="Arial"/>
        </w:rPr>
        <w:t>elacionadas a la seguridad</w:t>
      </w:r>
      <w:r>
        <w:rPr>
          <w:rFonts w:ascii="Arial" w:eastAsia="Calibri" w:hAnsi="Arial" w:cs="Arial"/>
        </w:rPr>
        <w:t xml:space="preserve"> en este tipo de actividad</w:t>
      </w:r>
      <w:r w:rsidR="00F17B35">
        <w:rPr>
          <w:rFonts w:ascii="Arial" w:eastAsia="Calibri" w:hAnsi="Arial" w:cs="Arial"/>
        </w:rPr>
        <w:t>, las cuales permiten verificar el cumplimiento de las condiciones de seguridad en la ECSE.</w:t>
      </w:r>
    </w:p>
    <w:sectPr w:rsidR="00122AD3" w:rsidSect="008A099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F01D" w14:textId="77777777" w:rsidR="00EB4CCC" w:rsidRDefault="00EB4CCC" w:rsidP="00861C23">
      <w:pPr>
        <w:spacing w:after="0" w:line="240" w:lineRule="auto"/>
      </w:pPr>
      <w:r>
        <w:separator/>
      </w:r>
    </w:p>
  </w:endnote>
  <w:endnote w:type="continuationSeparator" w:id="0">
    <w:p w14:paraId="165F85E7" w14:textId="77777777" w:rsidR="00EB4CCC" w:rsidRDefault="00EB4CCC" w:rsidP="0086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DB2C" w14:textId="77777777" w:rsidR="00EB4CCC" w:rsidRDefault="00EB4CCC" w:rsidP="00861C23">
      <w:pPr>
        <w:spacing w:after="0" w:line="240" w:lineRule="auto"/>
      </w:pPr>
      <w:r>
        <w:separator/>
      </w:r>
    </w:p>
  </w:footnote>
  <w:footnote w:type="continuationSeparator" w:id="0">
    <w:p w14:paraId="00C3A229" w14:textId="77777777" w:rsidR="00EB4CCC" w:rsidRDefault="00EB4CCC" w:rsidP="00861C23">
      <w:pPr>
        <w:spacing w:after="0" w:line="240" w:lineRule="auto"/>
      </w:pPr>
      <w:r>
        <w:continuationSeparator/>
      </w:r>
    </w:p>
  </w:footnote>
  <w:footnote w:id="1">
    <w:p w14:paraId="1F97A375" w14:textId="77777777" w:rsidR="00861C23" w:rsidRPr="007C6056" w:rsidRDefault="00861C23" w:rsidP="00861C23">
      <w:pPr>
        <w:pStyle w:val="Textonotapie"/>
        <w:rPr>
          <w:lang w:val="en-US"/>
        </w:rPr>
      </w:pPr>
      <w:r>
        <w:rPr>
          <w:rStyle w:val="Refdenotaalpie"/>
        </w:rPr>
        <w:footnoteRef/>
      </w:r>
      <w:r w:rsidRPr="007C6056">
        <w:rPr>
          <w:lang w:val="en-US"/>
        </w:rPr>
        <w:t xml:space="preserve"> </w:t>
      </w:r>
      <w:r w:rsidRPr="007C6056">
        <w:rPr>
          <w:rFonts w:ascii="Arial" w:hAnsi="Arial" w:cs="Arial"/>
          <w:lang w:val="en-US"/>
        </w:rPr>
        <w:t>Introduction to Crowd Science, G Keith Still, CRC Press, Taylor and Francis, UK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4"/>
    <w:multiLevelType w:val="multilevel"/>
    <w:tmpl w:val="8D80EDC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4"/>
      <w:numFmt w:val="lowerLetter"/>
      <w:lvlText w:val="%4)"/>
      <w:lvlJc w:val="left"/>
      <w:pPr>
        <w:ind w:left="1440" w:hanging="360"/>
      </w:pPr>
      <w:rPr>
        <w:rFonts w:ascii="Arial" w:eastAsiaTheme="minorHAnsi" w:hAnsi="Arial" w:cs="Arial"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243302"/>
    <w:multiLevelType w:val="multilevel"/>
    <w:tmpl w:val="A886ABFE"/>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6.2.%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152D2D"/>
    <w:multiLevelType w:val="hybridMultilevel"/>
    <w:tmpl w:val="D250D8A0"/>
    <w:lvl w:ilvl="0" w:tplc="2A8246CE">
      <w:start w:val="1"/>
      <w:numFmt w:val="upp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3" w15:restartNumberingAfterBreak="0">
    <w:nsid w:val="29EA2072"/>
    <w:multiLevelType w:val="hybridMultilevel"/>
    <w:tmpl w:val="3B72F34E"/>
    <w:lvl w:ilvl="0" w:tplc="0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D735E6F"/>
    <w:multiLevelType w:val="hybridMultilevel"/>
    <w:tmpl w:val="D9A2CA9E"/>
    <w:lvl w:ilvl="0" w:tplc="0C0A0017">
      <w:start w:val="1"/>
      <w:numFmt w:val="lowerLetter"/>
      <w:lvlText w:val="%1)"/>
      <w:lvlJc w:val="left"/>
      <w:pPr>
        <w:ind w:left="1854" w:hanging="360"/>
      </w:pPr>
    </w:lvl>
    <w:lvl w:ilvl="1" w:tplc="0C0A0017">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31ED7E74"/>
    <w:multiLevelType w:val="hybridMultilevel"/>
    <w:tmpl w:val="15E6573E"/>
    <w:lvl w:ilvl="0" w:tplc="280A0017">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15:restartNumberingAfterBreak="0">
    <w:nsid w:val="37F6056F"/>
    <w:multiLevelType w:val="multilevel"/>
    <w:tmpl w:val="CF44E0F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4.1.%3"/>
      <w:lvlJc w:val="left"/>
      <w:pPr>
        <w:ind w:left="2138" w:hanging="720"/>
      </w:pPr>
      <w:rPr>
        <w:rFonts w:hint="default"/>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B8355C9"/>
    <w:multiLevelType w:val="multilevel"/>
    <w:tmpl w:val="771254A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97C52F1"/>
    <w:multiLevelType w:val="multilevel"/>
    <w:tmpl w:val="75EC7B96"/>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3.1.%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E175EBF"/>
    <w:multiLevelType w:val="hybridMultilevel"/>
    <w:tmpl w:val="331E6226"/>
    <w:lvl w:ilvl="0" w:tplc="20A82A8A">
      <w:start w:val="1"/>
      <w:numFmt w:val="upperLetter"/>
      <w:lvlText w:val="%1)"/>
      <w:lvlJc w:val="left"/>
      <w:pPr>
        <w:ind w:left="720" w:hanging="360"/>
      </w:pPr>
      <w:rPr>
        <w:rFonts w:hint="default"/>
      </w:rPr>
    </w:lvl>
    <w:lvl w:ilvl="1" w:tplc="832CCD5C">
      <w:start w:val="1"/>
      <w:numFmt w:val="upperRoman"/>
      <w:lvlText w:val="%2."/>
      <w:lvlJc w:val="left"/>
      <w:pPr>
        <w:ind w:left="1800" w:hanging="720"/>
      </w:pPr>
      <w:rPr>
        <w:rFonts w:hint="default"/>
      </w:rPr>
    </w:lvl>
    <w:lvl w:ilvl="2" w:tplc="3EAE0FF6">
      <w:start w:val="1"/>
      <w:numFmt w:val="upperLetter"/>
      <w:lvlText w:val="%3)"/>
      <w:lvlJc w:val="left"/>
      <w:pPr>
        <w:ind w:left="2160" w:hanging="180"/>
      </w:pPr>
      <w:rPr>
        <w:rFonts w:hint="default"/>
      </w:rPr>
    </w:lvl>
    <w:lvl w:ilvl="3" w:tplc="CBEA8F42">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8F97407"/>
    <w:multiLevelType w:val="multilevel"/>
    <w:tmpl w:val="05282E4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A3723E"/>
    <w:multiLevelType w:val="multilevel"/>
    <w:tmpl w:val="EC7CE0D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6.4.%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D191ECC"/>
    <w:multiLevelType w:val="multilevel"/>
    <w:tmpl w:val="CCBCE9FA"/>
    <w:lvl w:ilvl="0">
      <w:start w:val="5"/>
      <w:numFmt w:val="decimal"/>
      <w:lvlText w:val="%1."/>
      <w:lvlJc w:val="left"/>
      <w:pPr>
        <w:ind w:left="375" w:hanging="375"/>
      </w:pPr>
      <w:rPr>
        <w:rFonts w:hint="default"/>
      </w:rPr>
    </w:lvl>
    <w:lvl w:ilvl="1">
      <w:start w:val="1"/>
      <w:numFmt w:val="decimal"/>
      <w:lvlText w:val="6.%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027F85"/>
    <w:multiLevelType w:val="multilevel"/>
    <w:tmpl w:val="CD220A34"/>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3.2.%3"/>
      <w:lvlJc w:val="left"/>
      <w:pPr>
        <w:ind w:left="2138" w:hanging="720"/>
      </w:pPr>
      <w:rPr>
        <w:rFonts w:hint="default"/>
      </w:rPr>
    </w:lvl>
    <w:lvl w:ilvl="3">
      <w:start w:val="1"/>
      <w:numFmt w:val="decimal"/>
      <w:lvlText w:val="4.1.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3A260E5"/>
    <w:multiLevelType w:val="multilevel"/>
    <w:tmpl w:val="FB2EA7D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9A4F3C"/>
    <w:multiLevelType w:val="multilevel"/>
    <w:tmpl w:val="57A275C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D8C2FBF"/>
    <w:multiLevelType w:val="multilevel"/>
    <w:tmpl w:val="4EF2F712"/>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4.2.%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10"/>
  </w:num>
  <w:num w:numId="4">
    <w:abstractNumId w:val="15"/>
  </w:num>
  <w:num w:numId="5">
    <w:abstractNumId w:val="8"/>
  </w:num>
  <w:num w:numId="6">
    <w:abstractNumId w:val="14"/>
  </w:num>
  <w:num w:numId="7">
    <w:abstractNumId w:val="6"/>
  </w:num>
  <w:num w:numId="8">
    <w:abstractNumId w:val="13"/>
  </w:num>
  <w:num w:numId="9">
    <w:abstractNumId w:val="16"/>
  </w:num>
  <w:num w:numId="10">
    <w:abstractNumId w:val="0"/>
  </w:num>
  <w:num w:numId="11">
    <w:abstractNumId w:val="7"/>
  </w:num>
  <w:num w:numId="12">
    <w:abstractNumId w:val="12"/>
  </w:num>
  <w:num w:numId="13">
    <w:abstractNumId w:val="1"/>
  </w:num>
  <w:num w:numId="14">
    <w:abstractNumId w:val="5"/>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DF"/>
    <w:rsid w:val="00093B92"/>
    <w:rsid w:val="00097DE2"/>
    <w:rsid w:val="000B6755"/>
    <w:rsid w:val="000C6C9E"/>
    <w:rsid w:val="000D0437"/>
    <w:rsid w:val="000E6FD7"/>
    <w:rsid w:val="0011205F"/>
    <w:rsid w:val="0011669F"/>
    <w:rsid w:val="00122AD3"/>
    <w:rsid w:val="001463FB"/>
    <w:rsid w:val="00286CE4"/>
    <w:rsid w:val="003910F3"/>
    <w:rsid w:val="003A3431"/>
    <w:rsid w:val="003E1A78"/>
    <w:rsid w:val="00424D76"/>
    <w:rsid w:val="00473972"/>
    <w:rsid w:val="004B0094"/>
    <w:rsid w:val="00546972"/>
    <w:rsid w:val="00555E20"/>
    <w:rsid w:val="00586E81"/>
    <w:rsid w:val="0058796B"/>
    <w:rsid w:val="00591669"/>
    <w:rsid w:val="005C5BB3"/>
    <w:rsid w:val="005C7B1B"/>
    <w:rsid w:val="005D686A"/>
    <w:rsid w:val="005F119E"/>
    <w:rsid w:val="005F7298"/>
    <w:rsid w:val="0067006C"/>
    <w:rsid w:val="0069262F"/>
    <w:rsid w:val="006C3395"/>
    <w:rsid w:val="00762358"/>
    <w:rsid w:val="00781ACE"/>
    <w:rsid w:val="00783235"/>
    <w:rsid w:val="007B4039"/>
    <w:rsid w:val="00861C23"/>
    <w:rsid w:val="008A0997"/>
    <w:rsid w:val="008C415B"/>
    <w:rsid w:val="00902BCA"/>
    <w:rsid w:val="009047D4"/>
    <w:rsid w:val="00940246"/>
    <w:rsid w:val="009D3463"/>
    <w:rsid w:val="009F5BCB"/>
    <w:rsid w:val="00A13258"/>
    <w:rsid w:val="00AA29DF"/>
    <w:rsid w:val="00AB66CD"/>
    <w:rsid w:val="00AD05D8"/>
    <w:rsid w:val="00AD498D"/>
    <w:rsid w:val="00B14B79"/>
    <w:rsid w:val="00B54101"/>
    <w:rsid w:val="00B54143"/>
    <w:rsid w:val="00B924A1"/>
    <w:rsid w:val="00BB31C5"/>
    <w:rsid w:val="00BC34A9"/>
    <w:rsid w:val="00C14FF1"/>
    <w:rsid w:val="00CD7961"/>
    <w:rsid w:val="00D97019"/>
    <w:rsid w:val="00DA1295"/>
    <w:rsid w:val="00DA3E07"/>
    <w:rsid w:val="00DB63E2"/>
    <w:rsid w:val="00DC2C10"/>
    <w:rsid w:val="00E204FD"/>
    <w:rsid w:val="00E337ED"/>
    <w:rsid w:val="00E447D1"/>
    <w:rsid w:val="00E54333"/>
    <w:rsid w:val="00E60A19"/>
    <w:rsid w:val="00EB4CCC"/>
    <w:rsid w:val="00EE1454"/>
    <w:rsid w:val="00F17B35"/>
    <w:rsid w:val="00FE65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443"/>
  <w15:docId w15:val="{A5EF17AE-6DAA-4933-9308-4FFFD3F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B66CD"/>
    <w:rPr>
      <w:sz w:val="16"/>
      <w:szCs w:val="16"/>
    </w:rPr>
  </w:style>
  <w:style w:type="paragraph" w:styleId="Textocomentario">
    <w:name w:val="annotation text"/>
    <w:basedOn w:val="Normal"/>
    <w:link w:val="TextocomentarioCar"/>
    <w:uiPriority w:val="99"/>
    <w:unhideWhenUsed/>
    <w:rsid w:val="00AB66CD"/>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AB66CD"/>
    <w:rPr>
      <w:sz w:val="20"/>
      <w:szCs w:val="20"/>
      <w:lang w:val="es-ES"/>
    </w:rPr>
  </w:style>
  <w:style w:type="paragraph" w:styleId="Textodeglobo">
    <w:name w:val="Balloon Text"/>
    <w:basedOn w:val="Normal"/>
    <w:link w:val="TextodegloboCar"/>
    <w:uiPriority w:val="99"/>
    <w:semiHidden/>
    <w:unhideWhenUsed/>
    <w:rsid w:val="00AB6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6CD"/>
    <w:rPr>
      <w:rFonts w:ascii="Segoe UI" w:hAnsi="Segoe UI" w:cs="Segoe UI"/>
      <w:sz w:val="18"/>
      <w:szCs w:val="18"/>
    </w:rPr>
  </w:style>
  <w:style w:type="paragraph" w:styleId="Textonotapie">
    <w:name w:val="footnote text"/>
    <w:basedOn w:val="Normal"/>
    <w:link w:val="TextonotapieCar"/>
    <w:uiPriority w:val="99"/>
    <w:semiHidden/>
    <w:unhideWhenUsed/>
    <w:rsid w:val="00861C2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861C23"/>
    <w:rPr>
      <w:sz w:val="20"/>
      <w:szCs w:val="20"/>
      <w:lang w:val="es-ES"/>
    </w:rPr>
  </w:style>
  <w:style w:type="character" w:styleId="Refdenotaalpie">
    <w:name w:val="footnote reference"/>
    <w:basedOn w:val="Fuentedeprrafopredeter"/>
    <w:uiPriority w:val="99"/>
    <w:semiHidden/>
    <w:unhideWhenUsed/>
    <w:rsid w:val="00861C23"/>
    <w:rPr>
      <w:vertAlign w:val="superscript"/>
    </w:rPr>
  </w:style>
  <w:style w:type="paragraph" w:styleId="Prrafodelista">
    <w:name w:val="List Paragraph"/>
    <w:basedOn w:val="Normal"/>
    <w:uiPriority w:val="34"/>
    <w:qFormat/>
    <w:rsid w:val="00EE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18</Pages>
  <Words>5722</Words>
  <Characters>31477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JOHN CONRAD BARRENA DIOSES</cp:lastModifiedBy>
  <cp:revision>53</cp:revision>
  <cp:lastPrinted>2018-01-22T02:05:00Z</cp:lastPrinted>
  <dcterms:created xsi:type="dcterms:W3CDTF">2017-02-22T16:36:00Z</dcterms:created>
  <dcterms:modified xsi:type="dcterms:W3CDTF">2018-01-22T02:21:00Z</dcterms:modified>
</cp:coreProperties>
</file>